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3615" w14:textId="77777777" w:rsidR="00CC608D" w:rsidRPr="00DE61A9" w:rsidRDefault="00CC608D" w:rsidP="00CC608D">
      <w:pPr>
        <w:ind w:left="720" w:right="720"/>
        <w:jc w:val="center"/>
        <w:rPr>
          <w:sz w:val="24"/>
          <w:szCs w:val="24"/>
        </w:rPr>
      </w:pPr>
      <w:r w:rsidRPr="00DE61A9">
        <w:rPr>
          <w:sz w:val="24"/>
          <w:szCs w:val="24"/>
        </w:rPr>
        <w:t>&lt;&lt;COURT_NAME&gt;&gt;</w:t>
      </w:r>
    </w:p>
    <w:p w14:paraId="6AF17AB3" w14:textId="77777777" w:rsidR="00CC608D" w:rsidRPr="00DE61A9" w:rsidRDefault="00CC608D" w:rsidP="00CC608D">
      <w:pPr>
        <w:jc w:val="center"/>
        <w:rPr>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CC608D" w:rsidRPr="00DE61A9" w14:paraId="738390A8" w14:textId="77777777" w:rsidTr="00B86712">
        <w:tc>
          <w:tcPr>
            <w:tcW w:w="5040" w:type="dxa"/>
          </w:tcPr>
          <w:p w14:paraId="4CFD1246" w14:textId="77777777" w:rsidR="00CC608D" w:rsidRPr="00DE61A9" w:rsidRDefault="00CC608D" w:rsidP="00B86712">
            <w:pPr>
              <w:rPr>
                <w:sz w:val="24"/>
                <w:szCs w:val="24"/>
              </w:rPr>
            </w:pPr>
            <w:r w:rsidRPr="00DE61A9">
              <w:rPr>
                <w:sz w:val="24"/>
                <w:szCs w:val="24"/>
              </w:rPr>
              <w:t xml:space="preserve">&lt;&lt;PROVIDER_SUITNAME&gt;&gt;, </w:t>
            </w:r>
            <w:r w:rsidRPr="00DE61A9">
              <w:rPr>
                <w:sz w:val="24"/>
                <w:szCs w:val="24"/>
              </w:rPr>
              <w:tab/>
            </w:r>
            <w:r w:rsidRPr="00DE61A9">
              <w:rPr>
                <w:sz w:val="24"/>
                <w:szCs w:val="24"/>
              </w:rPr>
              <w:tab/>
            </w:r>
          </w:p>
          <w:p w14:paraId="23B2DAFA" w14:textId="77777777" w:rsidR="00CC608D" w:rsidRPr="00DE61A9" w:rsidRDefault="00CC608D" w:rsidP="00B86712">
            <w:pPr>
              <w:rPr>
                <w:sz w:val="24"/>
                <w:szCs w:val="24"/>
              </w:rPr>
            </w:pPr>
            <w:r w:rsidRPr="00DE61A9">
              <w:rPr>
                <w:sz w:val="24"/>
                <w:szCs w:val="24"/>
              </w:rPr>
              <w:t>a/a/o &lt;&lt;INJUREDPARTY_NAME&gt;&gt;</w:t>
            </w:r>
            <w:r w:rsidRPr="00DE61A9">
              <w:rPr>
                <w:sz w:val="24"/>
                <w:szCs w:val="24"/>
              </w:rPr>
              <w:tab/>
              <w:t xml:space="preserve">                                            </w:t>
            </w:r>
          </w:p>
          <w:p w14:paraId="1F87709B" w14:textId="77777777" w:rsidR="00CC608D" w:rsidRPr="00DE61A9" w:rsidRDefault="00CC608D" w:rsidP="00B86712">
            <w:pPr>
              <w:rPr>
                <w:sz w:val="24"/>
                <w:szCs w:val="24"/>
              </w:rPr>
            </w:pPr>
            <w:r w:rsidRPr="00DE61A9">
              <w:rPr>
                <w:sz w:val="24"/>
                <w:szCs w:val="24"/>
              </w:rPr>
              <w:tab/>
            </w:r>
            <w:r w:rsidRPr="00DE61A9">
              <w:rPr>
                <w:sz w:val="24"/>
                <w:szCs w:val="24"/>
              </w:rPr>
              <w:tab/>
            </w:r>
            <w:r w:rsidRPr="00DE61A9">
              <w:rPr>
                <w:sz w:val="24"/>
                <w:szCs w:val="24"/>
              </w:rPr>
              <w:tab/>
              <w:t xml:space="preserve">                                </w:t>
            </w:r>
          </w:p>
          <w:p w14:paraId="29F79E3C" w14:textId="77777777" w:rsidR="00CC608D" w:rsidRPr="00DE61A9" w:rsidRDefault="00CC608D" w:rsidP="00B86712">
            <w:pPr>
              <w:rPr>
                <w:sz w:val="24"/>
                <w:szCs w:val="24"/>
              </w:rPr>
            </w:pPr>
            <w:r w:rsidRPr="00DE61A9">
              <w:rPr>
                <w:sz w:val="24"/>
                <w:szCs w:val="24"/>
              </w:rPr>
              <w:tab/>
              <w:t>Plaintiff,</w:t>
            </w:r>
          </w:p>
          <w:p w14:paraId="1B7E38EB" w14:textId="77777777" w:rsidR="00CC608D" w:rsidRPr="00DE61A9" w:rsidRDefault="00CC608D" w:rsidP="00B86712">
            <w:pPr>
              <w:rPr>
                <w:sz w:val="24"/>
                <w:szCs w:val="24"/>
              </w:rPr>
            </w:pPr>
          </w:p>
          <w:p w14:paraId="545A5009" w14:textId="77777777" w:rsidR="00CC608D" w:rsidRPr="00DE61A9" w:rsidRDefault="00CC608D" w:rsidP="00B86712">
            <w:pPr>
              <w:rPr>
                <w:sz w:val="24"/>
                <w:szCs w:val="24"/>
              </w:rPr>
            </w:pPr>
            <w:r w:rsidRPr="00DE61A9">
              <w:rPr>
                <w:sz w:val="24"/>
                <w:szCs w:val="24"/>
              </w:rPr>
              <w:t>vs.</w:t>
            </w:r>
          </w:p>
          <w:p w14:paraId="27BD39BF" w14:textId="77777777" w:rsidR="00CC608D" w:rsidRPr="00DE61A9" w:rsidRDefault="00CC608D" w:rsidP="00B86712">
            <w:pPr>
              <w:rPr>
                <w:sz w:val="24"/>
                <w:szCs w:val="24"/>
              </w:rPr>
            </w:pPr>
          </w:p>
          <w:p w14:paraId="215D0B03" w14:textId="77777777" w:rsidR="00CC608D" w:rsidRPr="00DE61A9" w:rsidRDefault="00CC608D" w:rsidP="00B86712">
            <w:pPr>
              <w:rPr>
                <w:sz w:val="24"/>
                <w:szCs w:val="24"/>
              </w:rPr>
            </w:pPr>
            <w:r w:rsidRPr="00DE61A9">
              <w:rPr>
                <w:sz w:val="24"/>
                <w:szCs w:val="24"/>
              </w:rPr>
              <w:t>&lt;&lt;INSURANCECOMPANY_SUITNAME&gt;&gt;</w:t>
            </w:r>
          </w:p>
          <w:p w14:paraId="097C3587" w14:textId="77777777" w:rsidR="00CC608D" w:rsidRPr="00DE61A9" w:rsidRDefault="00CC608D" w:rsidP="00B86712">
            <w:pPr>
              <w:rPr>
                <w:sz w:val="24"/>
                <w:szCs w:val="24"/>
              </w:rPr>
            </w:pPr>
          </w:p>
          <w:p w14:paraId="7D1E41CC" w14:textId="77777777" w:rsidR="00CC608D" w:rsidRPr="00DE61A9" w:rsidRDefault="00CC608D" w:rsidP="00B86712">
            <w:pPr>
              <w:rPr>
                <w:sz w:val="24"/>
                <w:szCs w:val="24"/>
              </w:rPr>
            </w:pPr>
            <w:r w:rsidRPr="00DE61A9">
              <w:rPr>
                <w:sz w:val="24"/>
                <w:szCs w:val="24"/>
              </w:rPr>
              <w:tab/>
              <w:t>Defendant.</w:t>
            </w:r>
          </w:p>
          <w:p w14:paraId="0CCF3370" w14:textId="77777777" w:rsidR="00CC608D" w:rsidRPr="00DE61A9" w:rsidRDefault="00CC608D" w:rsidP="00B86712">
            <w:pPr>
              <w:rPr>
                <w:sz w:val="24"/>
                <w:szCs w:val="24"/>
              </w:rPr>
            </w:pPr>
            <w:r w:rsidRPr="00DE61A9">
              <w:rPr>
                <w:sz w:val="24"/>
                <w:szCs w:val="24"/>
              </w:rPr>
              <w:t>_____________________________________/</w:t>
            </w:r>
          </w:p>
          <w:p w14:paraId="03F4FAC6" w14:textId="77777777" w:rsidR="00CC608D" w:rsidRPr="00DE61A9" w:rsidRDefault="00CC608D" w:rsidP="00B86712">
            <w:pPr>
              <w:rPr>
                <w:sz w:val="24"/>
                <w:szCs w:val="24"/>
              </w:rPr>
            </w:pPr>
          </w:p>
        </w:tc>
        <w:tc>
          <w:tcPr>
            <w:tcW w:w="4410" w:type="dxa"/>
          </w:tcPr>
          <w:p w14:paraId="68454269" w14:textId="77777777" w:rsidR="00CC608D" w:rsidRPr="00DE61A9" w:rsidRDefault="00CC608D" w:rsidP="00B86712">
            <w:pPr>
              <w:rPr>
                <w:sz w:val="24"/>
                <w:szCs w:val="24"/>
              </w:rPr>
            </w:pPr>
            <w:r w:rsidRPr="00DE61A9">
              <w:rPr>
                <w:sz w:val="24"/>
                <w:szCs w:val="24"/>
              </w:rPr>
              <w:t>Case No. &lt;&lt;INDEXORAAA_NUMBER&gt;&gt;</w:t>
            </w:r>
            <w:r w:rsidRPr="00DE61A9">
              <w:rPr>
                <w:sz w:val="24"/>
                <w:szCs w:val="24"/>
              </w:rPr>
              <w:br/>
            </w:r>
          </w:p>
          <w:p w14:paraId="4411B719" w14:textId="77777777" w:rsidR="00CC608D" w:rsidRPr="00DE61A9" w:rsidRDefault="00CC608D" w:rsidP="00B86712">
            <w:pPr>
              <w:rPr>
                <w:sz w:val="24"/>
                <w:szCs w:val="24"/>
              </w:rPr>
            </w:pPr>
          </w:p>
          <w:p w14:paraId="76AA04B5" w14:textId="77777777" w:rsidR="00CC608D" w:rsidRPr="00DE61A9" w:rsidRDefault="00CC608D" w:rsidP="00B86712">
            <w:pPr>
              <w:rPr>
                <w:sz w:val="24"/>
                <w:szCs w:val="24"/>
              </w:rPr>
            </w:pPr>
          </w:p>
        </w:tc>
      </w:tr>
    </w:tbl>
    <w:p w14:paraId="19517572" w14:textId="77777777" w:rsidR="00CC608D" w:rsidRDefault="00CC608D" w:rsidP="00CC608D">
      <w:pPr>
        <w:pStyle w:val="Heading1"/>
        <w:rPr>
          <w:sz w:val="24"/>
          <w:szCs w:val="24"/>
        </w:rPr>
      </w:pPr>
      <w:r>
        <w:rPr>
          <w:sz w:val="24"/>
          <w:szCs w:val="24"/>
        </w:rPr>
        <w:t xml:space="preserve">PLAINTIFF’S MOTION FOR CONFESSION OF JUDGMENT AND </w:t>
      </w:r>
      <w:r w:rsidRPr="00A5779B">
        <w:rPr>
          <w:sz w:val="24"/>
          <w:szCs w:val="24"/>
        </w:rPr>
        <w:t>MOTION TO DETERMINE REASONABLE</w:t>
      </w:r>
      <w:r>
        <w:rPr>
          <w:sz w:val="24"/>
          <w:szCs w:val="24"/>
        </w:rPr>
        <w:t xml:space="preserve"> </w:t>
      </w:r>
      <w:r w:rsidRPr="00A5779B">
        <w:rPr>
          <w:sz w:val="24"/>
          <w:szCs w:val="24"/>
        </w:rPr>
        <w:t>ATTORNEY'S FEES AND TAXABLE COSTS</w:t>
      </w:r>
    </w:p>
    <w:p w14:paraId="651345FE" w14:textId="77777777" w:rsidR="00CC608D" w:rsidRPr="00862EA6" w:rsidRDefault="00CC608D" w:rsidP="00CC608D"/>
    <w:p w14:paraId="2F71083A" w14:textId="77777777" w:rsidR="00CC608D" w:rsidRPr="00A5779B" w:rsidRDefault="00CC608D" w:rsidP="00CC608D">
      <w:pPr>
        <w:tabs>
          <w:tab w:val="left" w:pos="2070"/>
        </w:tabs>
        <w:spacing w:line="480" w:lineRule="auto"/>
        <w:ind w:firstLine="720"/>
        <w:jc w:val="both"/>
        <w:rPr>
          <w:sz w:val="24"/>
          <w:szCs w:val="24"/>
        </w:rPr>
      </w:pPr>
      <w:r>
        <w:rPr>
          <w:b/>
          <w:bCs/>
          <w:sz w:val="24"/>
          <w:szCs w:val="24"/>
        </w:rPr>
        <w:t xml:space="preserve">COMES NOW, </w:t>
      </w:r>
      <w:r w:rsidRPr="00A5779B">
        <w:rPr>
          <w:sz w:val="24"/>
          <w:szCs w:val="24"/>
        </w:rPr>
        <w:t xml:space="preserve">Plaintiff, </w:t>
      </w:r>
      <w:r w:rsidRPr="00714A01">
        <w:rPr>
          <w:sz w:val="24"/>
          <w:szCs w:val="24"/>
        </w:rPr>
        <w:t>&lt;&lt;PROVIDER_SUITNAME&gt;&gt;</w:t>
      </w:r>
      <w:r w:rsidRPr="00A5779B">
        <w:rPr>
          <w:sz w:val="24"/>
          <w:szCs w:val="24"/>
        </w:rPr>
        <w:t xml:space="preserve">by and through undersigned counsel, hereby files this </w:t>
      </w:r>
      <w:r>
        <w:rPr>
          <w:sz w:val="24"/>
          <w:szCs w:val="24"/>
        </w:rPr>
        <w:t>Motion for Confession of Judgment and M</w:t>
      </w:r>
      <w:r w:rsidRPr="00A5779B">
        <w:rPr>
          <w:sz w:val="24"/>
          <w:szCs w:val="24"/>
        </w:rPr>
        <w:t xml:space="preserve">otion for Entitlement to Reasonable Attorney’s Fees and Costs, to be imposed against the Defendant, </w:t>
      </w:r>
      <w:r w:rsidRPr="00DE61A9">
        <w:rPr>
          <w:sz w:val="24"/>
          <w:szCs w:val="24"/>
        </w:rPr>
        <w:t>&lt;&lt;INSURANCECOMPANY_SUITNAME&gt;&gt;</w:t>
      </w:r>
      <w:r w:rsidRPr="00A5779B">
        <w:rPr>
          <w:sz w:val="24"/>
          <w:szCs w:val="24"/>
        </w:rPr>
        <w:t>, and as grounds therefore states as follows:</w:t>
      </w:r>
    </w:p>
    <w:p w14:paraId="1E556294" w14:textId="77777777" w:rsidR="00CC608D" w:rsidRPr="00A5779B"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sidRPr="00A5779B">
        <w:rPr>
          <w:sz w:val="24"/>
          <w:szCs w:val="24"/>
        </w:rPr>
        <w:t xml:space="preserve">This lawsuit arises from a claim for damages to real property in connection with a covered loss under claim number, </w:t>
      </w:r>
      <w:r w:rsidRPr="00714A01">
        <w:rPr>
          <w:sz w:val="24"/>
          <w:szCs w:val="24"/>
        </w:rPr>
        <w:t>&lt;&lt;INS_CLAIM_NUMBER&gt;&gt;</w:t>
      </w:r>
      <w:r w:rsidRPr="00A5779B">
        <w:rPr>
          <w:color w:val="000000"/>
          <w:sz w:val="24"/>
          <w:szCs w:val="24"/>
          <w:shd w:val="clear" w:color="auto" w:fill="FFFFFF"/>
        </w:rPr>
        <w:t xml:space="preserve">, </w:t>
      </w:r>
      <w:r w:rsidRPr="00A5779B">
        <w:rPr>
          <w:sz w:val="24"/>
          <w:szCs w:val="24"/>
        </w:rPr>
        <w:t xml:space="preserve">that occurred on </w:t>
      </w:r>
      <w:r w:rsidRPr="00714A01">
        <w:rPr>
          <w:sz w:val="24"/>
          <w:szCs w:val="24"/>
        </w:rPr>
        <w:t>&lt;&lt;ACCIDENT_DATE&gt;&gt;</w:t>
      </w:r>
      <w:r>
        <w:rPr>
          <w:sz w:val="24"/>
          <w:szCs w:val="24"/>
        </w:rPr>
        <w:t xml:space="preserve"> at the Insured, Jeffrey Walsh’s property located at </w:t>
      </w:r>
      <w:r w:rsidRPr="00714A01">
        <w:rPr>
          <w:sz w:val="24"/>
          <w:szCs w:val="24"/>
        </w:rPr>
        <w:t>&lt;&lt;INJUREDPARTY_FULL_ADDRESS&gt;&gt;</w:t>
      </w:r>
      <w:r>
        <w:rPr>
          <w:sz w:val="24"/>
          <w:szCs w:val="24"/>
        </w:rPr>
        <w:t>.</w:t>
      </w:r>
    </w:p>
    <w:p w14:paraId="4CB38282" w14:textId="77777777" w:rsidR="00CC608D" w:rsidRPr="001334C9"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Pr>
          <w:sz w:val="24"/>
          <w:szCs w:val="24"/>
        </w:rPr>
        <w:t xml:space="preserve">On </w:t>
      </w:r>
      <w:r w:rsidRPr="00714A01">
        <w:rPr>
          <w:sz w:val="24"/>
          <w:szCs w:val="24"/>
        </w:rPr>
        <w:t>&lt;&lt;ACCIDENT_DATE&gt;&gt;</w:t>
      </w:r>
      <w:r>
        <w:rPr>
          <w:sz w:val="24"/>
          <w:szCs w:val="24"/>
        </w:rPr>
        <w:t>, f</w:t>
      </w:r>
      <w:r w:rsidRPr="00A5779B">
        <w:rPr>
          <w:sz w:val="24"/>
          <w:szCs w:val="24"/>
        </w:rPr>
        <w:t xml:space="preserve">ollowing the loss the Insured, </w:t>
      </w:r>
      <w:r w:rsidRPr="00714A01">
        <w:rPr>
          <w:sz w:val="24"/>
          <w:szCs w:val="24"/>
        </w:rPr>
        <w:t>&lt;&lt;INJUREDPARTY_NAME&gt;&gt;</w:t>
      </w:r>
      <w:r w:rsidRPr="00A5779B">
        <w:rPr>
          <w:sz w:val="24"/>
          <w:szCs w:val="24"/>
        </w:rPr>
        <w:t xml:space="preserve">, executed an assignment of benefits to the Plaintiff in exchange for services meant to </w:t>
      </w:r>
      <w:r>
        <w:rPr>
          <w:sz w:val="24"/>
          <w:szCs w:val="24"/>
        </w:rPr>
        <w:t>mitigate against further damage</w:t>
      </w:r>
      <w:r w:rsidRPr="00A5779B">
        <w:rPr>
          <w:sz w:val="24"/>
          <w:szCs w:val="24"/>
        </w:rPr>
        <w:t xml:space="preserve">. </w:t>
      </w:r>
      <w:r>
        <w:rPr>
          <w:i/>
          <w:iCs/>
          <w:sz w:val="24"/>
          <w:szCs w:val="24"/>
        </w:rPr>
        <w:t>A true and correct copy of the Assignment of Benefits is attached hereto as Exhibit A.</w:t>
      </w:r>
    </w:p>
    <w:p w14:paraId="1DA29EA7" w14:textId="77777777" w:rsidR="00CC608D" w:rsidRPr="001334C9"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sidRPr="00714A01">
        <w:rPr>
          <w:sz w:val="24"/>
          <w:szCs w:val="24"/>
          <w:highlight w:val="yellow"/>
        </w:rPr>
        <w:t>April 30, 2020</w:t>
      </w:r>
      <w:r>
        <w:rPr>
          <w:sz w:val="24"/>
          <w:szCs w:val="24"/>
        </w:rPr>
        <w:t>, Plaintiff put Defendant on notice of their assignment of benefits.</w:t>
      </w:r>
    </w:p>
    <w:p w14:paraId="02AD35F4" w14:textId="77777777" w:rsidR="00CC608D" w:rsidRPr="00862EA6"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Pr>
          <w:sz w:val="24"/>
          <w:szCs w:val="24"/>
        </w:rPr>
        <w:t xml:space="preserve">On </w:t>
      </w:r>
      <w:r w:rsidRPr="00714A01">
        <w:rPr>
          <w:sz w:val="24"/>
          <w:szCs w:val="24"/>
          <w:highlight w:val="yellow"/>
        </w:rPr>
        <w:t>March 30, 2021</w:t>
      </w:r>
      <w:r>
        <w:rPr>
          <w:sz w:val="24"/>
          <w:szCs w:val="24"/>
        </w:rPr>
        <w:t xml:space="preserve">, Plaintiff in compliance with Florida Statute 627.7152 served the Defendant with a 10-day Notice of Intention to Initiate Litigation. </w:t>
      </w:r>
      <w:r>
        <w:rPr>
          <w:i/>
          <w:iCs/>
          <w:sz w:val="24"/>
          <w:szCs w:val="24"/>
        </w:rPr>
        <w:t xml:space="preserve"> </w:t>
      </w:r>
    </w:p>
    <w:p w14:paraId="49FB777B" w14:textId="77777777" w:rsidR="00CC608D"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Pr>
          <w:sz w:val="24"/>
          <w:szCs w:val="24"/>
        </w:rPr>
        <w:lastRenderedPageBreak/>
        <w:t xml:space="preserve">On </w:t>
      </w:r>
      <w:r w:rsidRPr="00714A01">
        <w:rPr>
          <w:sz w:val="24"/>
          <w:szCs w:val="24"/>
          <w:highlight w:val="yellow"/>
        </w:rPr>
        <w:t>April 28, 2021</w:t>
      </w:r>
      <w:r>
        <w:rPr>
          <w:sz w:val="24"/>
          <w:szCs w:val="24"/>
        </w:rPr>
        <w:t>, Plaintiff filed this action for breach of contract after Defendant failed to issue payment.</w:t>
      </w:r>
    </w:p>
    <w:p w14:paraId="4F23791C" w14:textId="77777777" w:rsidR="00CC608D"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Pr>
          <w:sz w:val="24"/>
          <w:szCs w:val="24"/>
        </w:rPr>
        <w:t xml:space="preserve">On </w:t>
      </w:r>
      <w:r w:rsidRPr="00714A01">
        <w:rPr>
          <w:sz w:val="24"/>
          <w:szCs w:val="24"/>
          <w:highlight w:val="yellow"/>
        </w:rPr>
        <w:t>May 5, 2021</w:t>
      </w:r>
      <w:r>
        <w:rPr>
          <w:sz w:val="24"/>
          <w:szCs w:val="24"/>
        </w:rPr>
        <w:t xml:space="preserve">, Defendant was served with this lawsuit. </w:t>
      </w:r>
    </w:p>
    <w:p w14:paraId="1EEA0655" w14:textId="77777777" w:rsidR="00CC608D" w:rsidRPr="00862EA6"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Pr>
          <w:sz w:val="24"/>
          <w:szCs w:val="24"/>
        </w:rPr>
        <w:t xml:space="preserve">On </w:t>
      </w:r>
      <w:r w:rsidRPr="00714A01">
        <w:rPr>
          <w:sz w:val="24"/>
          <w:szCs w:val="24"/>
          <w:highlight w:val="yellow"/>
        </w:rPr>
        <w:t>October 4, 2021</w:t>
      </w:r>
      <w:r>
        <w:rPr>
          <w:sz w:val="24"/>
          <w:szCs w:val="24"/>
        </w:rPr>
        <w:t xml:space="preserve">, Plaintiff received a correspondence dated October 1, </w:t>
      </w:r>
      <w:proofErr w:type="gramStart"/>
      <w:r>
        <w:rPr>
          <w:sz w:val="24"/>
          <w:szCs w:val="24"/>
        </w:rPr>
        <w:t>2021</w:t>
      </w:r>
      <w:proofErr w:type="gramEnd"/>
      <w:r>
        <w:rPr>
          <w:sz w:val="24"/>
          <w:szCs w:val="24"/>
        </w:rPr>
        <w:t xml:space="preserve"> from Defendant’s counsel attaching payment for the full amount of the invoice attached to Plaintiff’s Statement of Claim. </w:t>
      </w:r>
    </w:p>
    <w:p w14:paraId="1301B895" w14:textId="77777777" w:rsidR="00CC608D" w:rsidRPr="00A5779B"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Pr>
          <w:sz w:val="24"/>
          <w:szCs w:val="24"/>
        </w:rPr>
        <w:t xml:space="preserve">Plaintiff has not been paid the statutorily mandated interest or attorney fees and costs. </w:t>
      </w:r>
    </w:p>
    <w:p w14:paraId="4412ED77" w14:textId="77777777" w:rsidR="00CC608D" w:rsidRDefault="00CC608D" w:rsidP="00CC608D">
      <w:pPr>
        <w:widowControl w:val="0"/>
        <w:numPr>
          <w:ilvl w:val="0"/>
          <w:numId w:val="45"/>
        </w:numPr>
        <w:tabs>
          <w:tab w:val="clear" w:pos="1440"/>
        </w:tabs>
        <w:autoSpaceDE w:val="0"/>
        <w:autoSpaceDN w:val="0"/>
        <w:adjustRightInd w:val="0"/>
        <w:spacing w:line="480" w:lineRule="auto"/>
        <w:ind w:left="0" w:firstLine="0"/>
        <w:jc w:val="both"/>
        <w:rPr>
          <w:sz w:val="24"/>
          <w:szCs w:val="24"/>
        </w:rPr>
      </w:pPr>
      <w:r>
        <w:rPr>
          <w:sz w:val="24"/>
          <w:szCs w:val="24"/>
        </w:rPr>
        <w:t xml:space="preserve">Defendant’s payment constitutes a confession of judgment under Florida law by issuing payment after this lawsuit was filed. </w:t>
      </w:r>
      <w:r w:rsidRPr="00A5779B">
        <w:rPr>
          <w:sz w:val="24"/>
          <w:szCs w:val="24"/>
        </w:rPr>
        <w:t xml:space="preserve">  </w:t>
      </w:r>
    </w:p>
    <w:p w14:paraId="252CD70F" w14:textId="77777777" w:rsidR="00CC608D" w:rsidRDefault="00CC608D" w:rsidP="00CC608D">
      <w:pPr>
        <w:widowControl w:val="0"/>
        <w:autoSpaceDE w:val="0"/>
        <w:autoSpaceDN w:val="0"/>
        <w:adjustRightInd w:val="0"/>
        <w:spacing w:line="480" w:lineRule="auto"/>
        <w:jc w:val="center"/>
        <w:rPr>
          <w:b/>
          <w:bCs/>
          <w:sz w:val="24"/>
          <w:szCs w:val="24"/>
        </w:rPr>
      </w:pPr>
      <w:r>
        <w:rPr>
          <w:b/>
          <w:bCs/>
          <w:sz w:val="24"/>
          <w:szCs w:val="24"/>
        </w:rPr>
        <w:t>MEMORANDUM OF LAW</w:t>
      </w:r>
    </w:p>
    <w:p w14:paraId="44431259" w14:textId="77777777" w:rsidR="00CC608D" w:rsidRDefault="00CC608D" w:rsidP="00CC608D">
      <w:pPr>
        <w:pStyle w:val="ListParagraph"/>
        <w:widowControl w:val="0"/>
        <w:numPr>
          <w:ilvl w:val="0"/>
          <w:numId w:val="46"/>
        </w:numPr>
        <w:autoSpaceDE w:val="0"/>
        <w:autoSpaceDN w:val="0"/>
        <w:adjustRightInd w:val="0"/>
        <w:spacing w:line="480" w:lineRule="auto"/>
        <w:ind w:left="0" w:firstLine="0"/>
        <w:rPr>
          <w:b/>
          <w:bCs/>
          <w:sz w:val="24"/>
          <w:szCs w:val="24"/>
        </w:rPr>
      </w:pPr>
      <w:r>
        <w:rPr>
          <w:b/>
          <w:bCs/>
          <w:sz w:val="24"/>
          <w:szCs w:val="24"/>
        </w:rPr>
        <w:t>FLORIDA STATUTE 627.70131</w:t>
      </w:r>
    </w:p>
    <w:p w14:paraId="5C23A723" w14:textId="77777777" w:rsidR="00CC608D" w:rsidRDefault="00CC608D" w:rsidP="00CC608D">
      <w:pPr>
        <w:pStyle w:val="ListParagraph"/>
        <w:widowControl w:val="0"/>
        <w:autoSpaceDE w:val="0"/>
        <w:autoSpaceDN w:val="0"/>
        <w:adjustRightInd w:val="0"/>
        <w:spacing w:line="480" w:lineRule="auto"/>
        <w:ind w:left="0" w:firstLine="720"/>
        <w:jc w:val="both"/>
        <w:rPr>
          <w:sz w:val="24"/>
          <w:szCs w:val="24"/>
        </w:rPr>
      </w:pPr>
      <w:r>
        <w:rPr>
          <w:sz w:val="24"/>
          <w:szCs w:val="24"/>
        </w:rPr>
        <w:t>Pursuant to Florida Statute 627.70131, any payment by the Defendant made after 90 days has expired from the date notice of a claim or supplemental claim accrues interest at the rates set forth in Florida Statute 55.03.</w:t>
      </w:r>
    </w:p>
    <w:p w14:paraId="5ECFDC81" w14:textId="77777777" w:rsidR="00CC608D" w:rsidRDefault="00CC608D" w:rsidP="00CC608D">
      <w:pPr>
        <w:pStyle w:val="BodyText"/>
        <w:ind w:firstLine="720"/>
        <w:rPr>
          <w:color w:val="000000"/>
          <w:szCs w:val="24"/>
          <w:shd w:val="clear" w:color="auto" w:fill="FFFFFF"/>
        </w:rPr>
      </w:pPr>
      <w:r>
        <w:rPr>
          <w:color w:val="000000"/>
          <w:szCs w:val="24"/>
          <w:shd w:val="clear" w:color="auto" w:fill="FFFFFF"/>
        </w:rPr>
        <w:t>Florida State 627.70131(5)(a) states in part:</w:t>
      </w:r>
    </w:p>
    <w:p w14:paraId="674B2531" w14:textId="77777777" w:rsidR="00CC608D" w:rsidRDefault="00CC608D" w:rsidP="00CC608D">
      <w:pPr>
        <w:pStyle w:val="BodyText"/>
        <w:spacing w:line="240" w:lineRule="auto"/>
        <w:ind w:left="1440" w:right="1440"/>
        <w:rPr>
          <w:rStyle w:val="text"/>
          <w:szCs w:val="24"/>
          <w:shd w:val="clear" w:color="auto" w:fill="FFFFFF"/>
        </w:rPr>
      </w:pPr>
      <w:r w:rsidRPr="00ED546F">
        <w:rPr>
          <w:rStyle w:val="number"/>
          <w:szCs w:val="24"/>
          <w:shd w:val="clear" w:color="auto" w:fill="FFFFFF"/>
        </w:rPr>
        <w:t>(5)(a)</w:t>
      </w:r>
      <w:r w:rsidRPr="00ED546F">
        <w:rPr>
          <w:rStyle w:val="number"/>
          <w:szCs w:val="24"/>
          <w:shd w:val="clear" w:color="auto" w:fill="FFFFFF"/>
        </w:rPr>
        <w:t> </w:t>
      </w:r>
      <w:r w:rsidRPr="00ED546F">
        <w:rPr>
          <w:rStyle w:val="text"/>
          <w:szCs w:val="24"/>
          <w:shd w:val="clear" w:color="auto" w:fill="FFFFFF"/>
        </w:rPr>
        <w:t xml:space="preserve">Within 90 days after an insurer receives notice of an initial, reopened, or supplemental property insurance claim from a policyholder, the insurer shall pay or deny such claim or a portion of the claim unless the failure to pay is caused by factors beyond the control of the insurer which reasonably prevent such payment. </w:t>
      </w:r>
      <w:r w:rsidRPr="004F1021">
        <w:rPr>
          <w:rStyle w:val="text"/>
          <w:b/>
          <w:szCs w:val="24"/>
          <w:shd w:val="clear" w:color="auto" w:fill="FFFFFF"/>
        </w:rPr>
        <w:t xml:space="preserve">Any payment of an initial or supplemental claim or portion of such claim made 90 days after the insurer receives notice of the claim, or made more than 15 days after there are no longer factors beyond the control of the insurer which reasonably prevented such payment, whichever is later, bears interest </w:t>
      </w:r>
      <w:r w:rsidRPr="00ED546F">
        <w:rPr>
          <w:rStyle w:val="text"/>
          <w:bCs/>
          <w:szCs w:val="24"/>
          <w:shd w:val="clear" w:color="auto" w:fill="FFFFFF"/>
        </w:rPr>
        <w:t>at the rate set forth in s. </w:t>
      </w:r>
      <w:hyperlink r:id="rId7" w:history="1">
        <w:r w:rsidRPr="00ED546F">
          <w:rPr>
            <w:rStyle w:val="Hyperlink"/>
            <w:b/>
            <w:bCs/>
            <w:szCs w:val="24"/>
            <w:shd w:val="clear" w:color="auto" w:fill="FFFFFF"/>
          </w:rPr>
          <w:t>55.03</w:t>
        </w:r>
      </w:hyperlink>
      <w:r w:rsidRPr="00ED546F">
        <w:rPr>
          <w:rStyle w:val="text"/>
          <w:szCs w:val="24"/>
          <w:shd w:val="clear" w:color="auto" w:fill="FFFFFF"/>
        </w:rPr>
        <w:t>. Interest begins to accrue from the date the insurer receives notice of the claim. </w:t>
      </w:r>
      <w:r>
        <w:rPr>
          <w:rStyle w:val="text"/>
          <w:szCs w:val="24"/>
          <w:shd w:val="clear" w:color="auto" w:fill="FFFFFF"/>
        </w:rPr>
        <w:t>(</w:t>
      </w:r>
      <w:proofErr w:type="gramStart"/>
      <w:r>
        <w:rPr>
          <w:rStyle w:val="text"/>
          <w:szCs w:val="24"/>
          <w:shd w:val="clear" w:color="auto" w:fill="FFFFFF"/>
        </w:rPr>
        <w:t>emphasis</w:t>
      </w:r>
      <w:proofErr w:type="gramEnd"/>
      <w:r>
        <w:rPr>
          <w:rStyle w:val="text"/>
          <w:szCs w:val="24"/>
          <w:shd w:val="clear" w:color="auto" w:fill="FFFFFF"/>
        </w:rPr>
        <w:t xml:space="preserve"> added)</w:t>
      </w:r>
    </w:p>
    <w:p w14:paraId="48DEAAF5" w14:textId="77777777" w:rsidR="00CC608D" w:rsidRDefault="00CC608D" w:rsidP="00CC608D">
      <w:pPr>
        <w:widowControl w:val="0"/>
        <w:autoSpaceDE w:val="0"/>
        <w:autoSpaceDN w:val="0"/>
        <w:adjustRightInd w:val="0"/>
        <w:ind w:firstLine="720"/>
        <w:jc w:val="both"/>
        <w:rPr>
          <w:sz w:val="24"/>
          <w:szCs w:val="24"/>
        </w:rPr>
      </w:pPr>
    </w:p>
    <w:p w14:paraId="215150E6" w14:textId="77777777" w:rsidR="00CC608D" w:rsidRDefault="00CC608D" w:rsidP="00CC608D">
      <w:pPr>
        <w:widowControl w:val="0"/>
        <w:autoSpaceDE w:val="0"/>
        <w:autoSpaceDN w:val="0"/>
        <w:adjustRightInd w:val="0"/>
        <w:spacing w:line="480" w:lineRule="auto"/>
        <w:ind w:firstLine="720"/>
        <w:jc w:val="both"/>
        <w:rPr>
          <w:sz w:val="24"/>
          <w:szCs w:val="24"/>
        </w:rPr>
      </w:pPr>
      <w:r>
        <w:rPr>
          <w:sz w:val="24"/>
          <w:szCs w:val="24"/>
        </w:rPr>
        <w:t xml:space="preserve">In this matter, payment was received after Plaintiff had already sent a demand letter, filed </w:t>
      </w:r>
      <w:proofErr w:type="gramStart"/>
      <w:r>
        <w:rPr>
          <w:sz w:val="24"/>
          <w:szCs w:val="24"/>
        </w:rPr>
        <w:t>suit</w:t>
      </w:r>
      <w:proofErr w:type="gramEnd"/>
      <w:r>
        <w:rPr>
          <w:sz w:val="24"/>
          <w:szCs w:val="24"/>
        </w:rPr>
        <w:t xml:space="preserve"> and served the Defendant. As such, Plaintiff is entitled to interest from the Defendant.</w:t>
      </w:r>
    </w:p>
    <w:p w14:paraId="47993D81" w14:textId="77777777" w:rsidR="00CC608D" w:rsidRDefault="00CC608D" w:rsidP="00CC608D">
      <w:pPr>
        <w:pStyle w:val="ListParagraph"/>
        <w:widowControl w:val="0"/>
        <w:numPr>
          <w:ilvl w:val="0"/>
          <w:numId w:val="46"/>
        </w:numPr>
        <w:autoSpaceDE w:val="0"/>
        <w:autoSpaceDN w:val="0"/>
        <w:adjustRightInd w:val="0"/>
        <w:spacing w:line="480" w:lineRule="auto"/>
        <w:ind w:left="0" w:firstLine="0"/>
        <w:jc w:val="both"/>
        <w:rPr>
          <w:b/>
          <w:bCs/>
          <w:sz w:val="24"/>
          <w:szCs w:val="24"/>
        </w:rPr>
      </w:pPr>
      <w:r>
        <w:rPr>
          <w:b/>
          <w:bCs/>
          <w:sz w:val="24"/>
          <w:szCs w:val="24"/>
        </w:rPr>
        <w:lastRenderedPageBreak/>
        <w:t>FLORIDA STATUTE 627.7152</w:t>
      </w:r>
    </w:p>
    <w:p w14:paraId="5CD94F4F" w14:textId="77777777" w:rsidR="00CC608D" w:rsidRDefault="00CC608D" w:rsidP="00CC608D">
      <w:pPr>
        <w:pStyle w:val="ListParagraph"/>
        <w:widowControl w:val="0"/>
        <w:autoSpaceDE w:val="0"/>
        <w:autoSpaceDN w:val="0"/>
        <w:adjustRightInd w:val="0"/>
        <w:spacing w:line="480" w:lineRule="auto"/>
        <w:ind w:left="0" w:firstLine="720"/>
        <w:jc w:val="both"/>
        <w:rPr>
          <w:sz w:val="24"/>
          <w:szCs w:val="24"/>
        </w:rPr>
      </w:pPr>
      <w:r>
        <w:rPr>
          <w:sz w:val="24"/>
          <w:szCs w:val="24"/>
        </w:rPr>
        <w:t>Pursuant to Florida Statute 627.7152(1)(e) defines judgment as:</w:t>
      </w:r>
    </w:p>
    <w:p w14:paraId="17C4748D" w14:textId="77777777" w:rsidR="00CC608D" w:rsidRDefault="00CC608D" w:rsidP="00CC608D">
      <w:pPr>
        <w:pStyle w:val="ListParagraph"/>
        <w:widowControl w:val="0"/>
        <w:autoSpaceDE w:val="0"/>
        <w:autoSpaceDN w:val="0"/>
        <w:adjustRightInd w:val="0"/>
        <w:ind w:left="1440" w:right="1440"/>
        <w:jc w:val="both"/>
        <w:rPr>
          <w:sz w:val="24"/>
          <w:szCs w:val="24"/>
        </w:rPr>
      </w:pPr>
      <w:r w:rsidRPr="00862EA6">
        <w:rPr>
          <w:sz w:val="24"/>
          <w:szCs w:val="24"/>
        </w:rPr>
        <w:t>“Judgment obtained” means damages recovered, if any, but does not include any amount awarded for attorney fees, costs, or interest.</w:t>
      </w:r>
    </w:p>
    <w:p w14:paraId="66B7F972" w14:textId="77777777" w:rsidR="00CC608D" w:rsidRDefault="00CC608D" w:rsidP="00CC608D">
      <w:pPr>
        <w:widowControl w:val="0"/>
        <w:autoSpaceDE w:val="0"/>
        <w:autoSpaceDN w:val="0"/>
        <w:adjustRightInd w:val="0"/>
        <w:ind w:right="1440"/>
        <w:jc w:val="both"/>
        <w:rPr>
          <w:sz w:val="24"/>
          <w:szCs w:val="24"/>
        </w:rPr>
      </w:pPr>
    </w:p>
    <w:p w14:paraId="3AE97B68" w14:textId="77777777" w:rsidR="00CC608D" w:rsidRDefault="00CC608D" w:rsidP="00CC608D">
      <w:pPr>
        <w:widowControl w:val="0"/>
        <w:autoSpaceDE w:val="0"/>
        <w:autoSpaceDN w:val="0"/>
        <w:adjustRightInd w:val="0"/>
        <w:spacing w:line="480" w:lineRule="auto"/>
        <w:ind w:firstLine="720"/>
        <w:jc w:val="both"/>
        <w:rPr>
          <w:sz w:val="24"/>
          <w:szCs w:val="24"/>
        </w:rPr>
      </w:pPr>
      <w:r>
        <w:rPr>
          <w:sz w:val="24"/>
          <w:szCs w:val="24"/>
        </w:rPr>
        <w:t>Pursuant to Florida Statute 627.7152(10)(a)(3) Plaintiff is entitled to attorney fees and costs in this matter.</w:t>
      </w:r>
    </w:p>
    <w:p w14:paraId="2A301B53" w14:textId="77777777" w:rsidR="00CC608D" w:rsidRPr="00862EA6" w:rsidRDefault="00CC608D" w:rsidP="00CC608D">
      <w:pPr>
        <w:pStyle w:val="ListParagraph"/>
        <w:widowControl w:val="0"/>
        <w:numPr>
          <w:ilvl w:val="0"/>
          <w:numId w:val="46"/>
        </w:numPr>
        <w:autoSpaceDE w:val="0"/>
        <w:autoSpaceDN w:val="0"/>
        <w:adjustRightInd w:val="0"/>
        <w:spacing w:line="480" w:lineRule="auto"/>
        <w:ind w:left="0" w:firstLine="0"/>
        <w:jc w:val="both"/>
        <w:rPr>
          <w:b/>
          <w:bCs/>
          <w:sz w:val="24"/>
          <w:szCs w:val="24"/>
        </w:rPr>
      </w:pPr>
      <w:r>
        <w:rPr>
          <w:b/>
          <w:bCs/>
          <w:sz w:val="24"/>
          <w:szCs w:val="24"/>
        </w:rPr>
        <w:t>CONFESSION OF JUDGMENT</w:t>
      </w:r>
    </w:p>
    <w:p w14:paraId="12951121" w14:textId="77777777" w:rsidR="00CC608D" w:rsidRPr="00A5779B" w:rsidRDefault="00CC608D" w:rsidP="00CC608D">
      <w:pPr>
        <w:widowControl w:val="0"/>
        <w:autoSpaceDE w:val="0"/>
        <w:autoSpaceDN w:val="0"/>
        <w:adjustRightInd w:val="0"/>
        <w:spacing w:line="480" w:lineRule="auto"/>
        <w:ind w:firstLine="720"/>
        <w:jc w:val="both"/>
        <w:rPr>
          <w:sz w:val="24"/>
          <w:szCs w:val="24"/>
        </w:rPr>
      </w:pPr>
      <w:r w:rsidRPr="00A5779B">
        <w:rPr>
          <w:sz w:val="24"/>
          <w:szCs w:val="24"/>
        </w:rPr>
        <w:t xml:space="preserve">When an insurance company has agreed to settle a disputed case, it has, in effect, declined to defend its position in the pending suit.  Thus, the payment of the claim is, indeed, the functional equivalent of a confession of judgment or a verdict in favor of the insured. </w:t>
      </w:r>
      <w:r w:rsidRPr="00A5779B">
        <w:rPr>
          <w:sz w:val="24"/>
          <w:szCs w:val="24"/>
          <w:u w:val="single"/>
        </w:rPr>
        <w:t>United Automobile Insurance Co. v. Zulma</w:t>
      </w:r>
      <w:r w:rsidRPr="00A5779B">
        <w:rPr>
          <w:sz w:val="24"/>
          <w:szCs w:val="24"/>
        </w:rPr>
        <w:t>, 661 So.2d 947 (Fla. 4</w:t>
      </w:r>
      <w:r w:rsidRPr="00A5779B">
        <w:rPr>
          <w:sz w:val="24"/>
          <w:szCs w:val="24"/>
          <w:vertAlign w:val="superscript"/>
        </w:rPr>
        <w:t>th</w:t>
      </w:r>
      <w:r w:rsidRPr="00A5779B">
        <w:rPr>
          <w:sz w:val="24"/>
          <w:szCs w:val="24"/>
        </w:rPr>
        <w:t xml:space="preserve"> DCA 1995) </w:t>
      </w:r>
      <w:r w:rsidRPr="00A5779B">
        <w:rPr>
          <w:i/>
          <w:sz w:val="24"/>
          <w:szCs w:val="24"/>
        </w:rPr>
        <w:t>citing</w:t>
      </w:r>
      <w:r w:rsidRPr="00A5779B">
        <w:rPr>
          <w:sz w:val="24"/>
          <w:szCs w:val="24"/>
        </w:rPr>
        <w:t xml:space="preserve"> </w:t>
      </w:r>
      <w:proofErr w:type="spellStart"/>
      <w:r w:rsidRPr="00A5779B">
        <w:rPr>
          <w:sz w:val="24"/>
          <w:szCs w:val="24"/>
          <w:u w:val="single"/>
        </w:rPr>
        <w:t>Wollard</w:t>
      </w:r>
      <w:proofErr w:type="spellEnd"/>
      <w:r w:rsidRPr="00A5779B">
        <w:rPr>
          <w:sz w:val="24"/>
          <w:szCs w:val="24"/>
          <w:u w:val="single"/>
        </w:rPr>
        <w:t xml:space="preserve"> v. Lloyd’s &amp; Co</w:t>
      </w:r>
      <w:r>
        <w:rPr>
          <w:sz w:val="24"/>
          <w:szCs w:val="24"/>
          <w:u w:val="single"/>
        </w:rPr>
        <w:t xml:space="preserve">mpanies </w:t>
      </w:r>
      <w:r w:rsidRPr="00A5779B">
        <w:rPr>
          <w:sz w:val="24"/>
          <w:szCs w:val="24"/>
          <w:u w:val="single"/>
        </w:rPr>
        <w:t>of Lloyd’s</w:t>
      </w:r>
      <w:r w:rsidRPr="00A5779B">
        <w:rPr>
          <w:sz w:val="24"/>
          <w:szCs w:val="24"/>
        </w:rPr>
        <w:t>, 439 So.2d 217, 218 (Fla. 1983)</w:t>
      </w:r>
    </w:p>
    <w:p w14:paraId="7BBEC785" w14:textId="77777777" w:rsidR="00CC608D" w:rsidRDefault="00CC608D" w:rsidP="00CC608D">
      <w:pPr>
        <w:widowControl w:val="0"/>
        <w:autoSpaceDE w:val="0"/>
        <w:autoSpaceDN w:val="0"/>
        <w:adjustRightInd w:val="0"/>
        <w:spacing w:line="480" w:lineRule="auto"/>
        <w:ind w:firstLine="720"/>
        <w:jc w:val="both"/>
        <w:rPr>
          <w:sz w:val="24"/>
          <w:szCs w:val="24"/>
        </w:rPr>
      </w:pPr>
      <w:r w:rsidRPr="00A5779B">
        <w:rPr>
          <w:sz w:val="24"/>
          <w:szCs w:val="24"/>
        </w:rPr>
        <w:t xml:space="preserve">In this case the </w:t>
      </w:r>
      <w:r w:rsidRPr="00A5779B">
        <w:rPr>
          <w:spacing w:val="-3"/>
          <w:sz w:val="24"/>
          <w:szCs w:val="24"/>
        </w:rPr>
        <w:t>Defendant</w:t>
      </w:r>
      <w:r w:rsidRPr="00A5779B">
        <w:rPr>
          <w:sz w:val="24"/>
          <w:szCs w:val="24"/>
        </w:rPr>
        <w:t xml:space="preserve"> paid the benefits </w:t>
      </w:r>
      <w:proofErr w:type="gramStart"/>
      <w:r w:rsidRPr="00A5779B">
        <w:rPr>
          <w:sz w:val="24"/>
          <w:szCs w:val="24"/>
        </w:rPr>
        <w:t>subsequent to</w:t>
      </w:r>
      <w:proofErr w:type="gramEnd"/>
      <w:r w:rsidRPr="00A5779B">
        <w:rPr>
          <w:sz w:val="24"/>
          <w:szCs w:val="24"/>
        </w:rPr>
        <w:t xml:space="preserve"> the filing of the lawsuit thereby relinquishing all of its defenses and confessed judgment in favor of Plaintiff.</w:t>
      </w:r>
    </w:p>
    <w:p w14:paraId="60F943C8" w14:textId="77777777" w:rsidR="00CC608D" w:rsidRPr="00862EA6" w:rsidRDefault="00CC608D" w:rsidP="00CC608D">
      <w:pPr>
        <w:widowControl w:val="0"/>
        <w:autoSpaceDE w:val="0"/>
        <w:autoSpaceDN w:val="0"/>
        <w:adjustRightInd w:val="0"/>
        <w:spacing w:line="480" w:lineRule="auto"/>
        <w:ind w:firstLine="720"/>
        <w:jc w:val="both"/>
        <w:rPr>
          <w:sz w:val="24"/>
          <w:szCs w:val="24"/>
        </w:rPr>
      </w:pPr>
      <w:r w:rsidRPr="00862EA6">
        <w:rPr>
          <w:sz w:val="24"/>
          <w:szCs w:val="24"/>
        </w:rPr>
        <w:t xml:space="preserve">Under these circumstances “a trial court has no discretion to deny reasonable attorney’s fee to the prevailing plaintiff where the insurance company first disputes the claim and then settles the case after a lawsuit is filed.” </w:t>
      </w:r>
      <w:hyperlink r:id="rId8" w:history="1">
        <w:r w:rsidRPr="00862EA6">
          <w:rPr>
            <w:sz w:val="24"/>
            <w:szCs w:val="24"/>
            <w:u w:val="single"/>
          </w:rPr>
          <w:t>Amador v. Latin American Property and Casualty Insurance Company</w:t>
        </w:r>
        <w:r w:rsidRPr="00862EA6">
          <w:rPr>
            <w:sz w:val="24"/>
            <w:szCs w:val="24"/>
          </w:rPr>
          <w:t>, 552 So.2d 1132 (Fla. 3d DCA 1989)</w:t>
        </w:r>
      </w:hyperlink>
      <w:r w:rsidRPr="00862EA6">
        <w:rPr>
          <w:sz w:val="24"/>
          <w:szCs w:val="24"/>
        </w:rPr>
        <w:t xml:space="preserve">; </w:t>
      </w:r>
      <w:hyperlink r:id="rId9" w:history="1">
        <w:proofErr w:type="spellStart"/>
        <w:r w:rsidRPr="00862EA6">
          <w:rPr>
            <w:sz w:val="24"/>
            <w:szCs w:val="24"/>
            <w:u w:val="single"/>
          </w:rPr>
          <w:t>Losicco</w:t>
        </w:r>
        <w:proofErr w:type="spellEnd"/>
        <w:r w:rsidRPr="00862EA6">
          <w:rPr>
            <w:sz w:val="24"/>
            <w:szCs w:val="24"/>
            <w:u w:val="single"/>
          </w:rPr>
          <w:t xml:space="preserve"> v. Aetna Casualty &amp; Surety Company, </w:t>
        </w:r>
        <w:r w:rsidRPr="00862EA6">
          <w:rPr>
            <w:sz w:val="24"/>
            <w:szCs w:val="24"/>
          </w:rPr>
          <w:t>588 So.2d 681 (Fla. 3d DCA 1991)</w:t>
        </w:r>
      </w:hyperlink>
      <w:r w:rsidRPr="00862EA6">
        <w:rPr>
          <w:sz w:val="24"/>
          <w:szCs w:val="24"/>
        </w:rPr>
        <w:t>.</w:t>
      </w:r>
    </w:p>
    <w:p w14:paraId="55AA4345" w14:textId="77777777" w:rsidR="00CC608D" w:rsidRPr="00A5779B" w:rsidRDefault="00CC608D" w:rsidP="00CC608D">
      <w:pPr>
        <w:spacing w:line="480" w:lineRule="auto"/>
        <w:ind w:firstLine="720"/>
        <w:jc w:val="both"/>
        <w:rPr>
          <w:b/>
          <w:sz w:val="24"/>
          <w:szCs w:val="24"/>
        </w:rPr>
      </w:pPr>
      <w:r w:rsidRPr="00862EA6">
        <w:rPr>
          <w:b/>
          <w:sz w:val="24"/>
          <w:szCs w:val="24"/>
        </w:rPr>
        <w:t xml:space="preserve">WHEREFORE, </w:t>
      </w:r>
      <w:r w:rsidRPr="00862EA6">
        <w:rPr>
          <w:bCs/>
          <w:sz w:val="24"/>
          <w:szCs w:val="24"/>
        </w:rPr>
        <w:t>Plaintiff respectfully request this Honorable Court grant this Motion for Confession of Judgment and Order Plaintiffs entitlement to reasonable attorney’s fees, taxable costs, and interest, with the amount to be determined at a separate hearing, and for such other relief as the Court deems appropriate under the circumstances.</w:t>
      </w:r>
      <w:r w:rsidRPr="00862EA6">
        <w:rPr>
          <w:bCs/>
          <w:sz w:val="24"/>
          <w:szCs w:val="24"/>
        </w:rPr>
        <w:tab/>
      </w:r>
      <w:r w:rsidRPr="00A5779B">
        <w:rPr>
          <w:b/>
          <w:sz w:val="24"/>
          <w:szCs w:val="24"/>
        </w:rPr>
        <w:tab/>
      </w:r>
      <w:r w:rsidRPr="00A5779B">
        <w:rPr>
          <w:b/>
          <w:sz w:val="24"/>
          <w:szCs w:val="24"/>
        </w:rPr>
        <w:tab/>
      </w:r>
    </w:p>
    <w:p w14:paraId="7FE39251" w14:textId="77777777" w:rsidR="00CC608D" w:rsidRDefault="00CC608D" w:rsidP="00CC608D">
      <w:pPr>
        <w:jc w:val="center"/>
        <w:rPr>
          <w:spacing w:val="-3"/>
          <w:sz w:val="24"/>
          <w:szCs w:val="24"/>
          <w:u w:val="single"/>
        </w:rPr>
      </w:pPr>
      <w:r w:rsidRPr="00862EA6">
        <w:rPr>
          <w:spacing w:val="-3"/>
          <w:sz w:val="24"/>
          <w:szCs w:val="24"/>
          <w:u w:val="single"/>
        </w:rPr>
        <w:t>CERTIFICATE OF SERVICE</w:t>
      </w:r>
    </w:p>
    <w:p w14:paraId="58712EFA" w14:textId="77777777" w:rsidR="00CC608D" w:rsidRPr="00862EA6" w:rsidRDefault="00CC608D" w:rsidP="00CC608D">
      <w:pPr>
        <w:jc w:val="center"/>
        <w:rPr>
          <w:spacing w:val="-3"/>
          <w:sz w:val="24"/>
          <w:szCs w:val="24"/>
          <w:u w:val="single"/>
        </w:rPr>
      </w:pPr>
    </w:p>
    <w:p w14:paraId="092408E9" w14:textId="77777777" w:rsidR="00CC608D" w:rsidRPr="00862EA6" w:rsidRDefault="00CC608D" w:rsidP="00CC608D">
      <w:pPr>
        <w:keepNext/>
        <w:spacing w:line="480" w:lineRule="auto"/>
        <w:ind w:firstLine="720"/>
        <w:jc w:val="both"/>
        <w:rPr>
          <w:sz w:val="24"/>
          <w:szCs w:val="24"/>
        </w:rPr>
      </w:pPr>
      <w:r w:rsidRPr="00862EA6">
        <w:rPr>
          <w:sz w:val="24"/>
          <w:szCs w:val="24"/>
        </w:rPr>
        <w:t xml:space="preserve">I HEREBY CERTIFY that on </w:t>
      </w:r>
      <w:r w:rsidRPr="00862EA6">
        <w:rPr>
          <w:sz w:val="24"/>
          <w:szCs w:val="24"/>
        </w:rPr>
        <w:fldChar w:fldCharType="begin"/>
      </w:r>
      <w:r w:rsidRPr="00862EA6">
        <w:rPr>
          <w:sz w:val="24"/>
          <w:szCs w:val="24"/>
        </w:rPr>
        <w:instrText xml:space="preserve"> DATE \@ "MMMM d, yyyy" </w:instrText>
      </w:r>
      <w:r w:rsidRPr="00862EA6">
        <w:rPr>
          <w:sz w:val="24"/>
          <w:szCs w:val="24"/>
        </w:rPr>
        <w:fldChar w:fldCharType="separate"/>
      </w:r>
      <w:r>
        <w:rPr>
          <w:noProof/>
          <w:sz w:val="24"/>
          <w:szCs w:val="24"/>
        </w:rPr>
        <w:t>February 19, 2022</w:t>
      </w:r>
      <w:r w:rsidRPr="00862EA6">
        <w:rPr>
          <w:sz w:val="24"/>
          <w:szCs w:val="24"/>
        </w:rPr>
        <w:fldChar w:fldCharType="end"/>
      </w:r>
      <w:r w:rsidRPr="00862EA6">
        <w:rPr>
          <w:sz w:val="24"/>
          <w:szCs w:val="24"/>
        </w:rPr>
        <w:t xml:space="preserve"> a true and correct copy of the foregoing was served upon the Defendant via the Florida E-file Portal.  </w:t>
      </w:r>
    </w:p>
    <w:p w14:paraId="46768F30" w14:textId="77777777" w:rsidR="00CC608D" w:rsidRPr="002B16DE" w:rsidRDefault="00CC608D" w:rsidP="00CC608D">
      <w:pPr>
        <w:suppressAutoHyphens/>
        <w:ind w:left="4320" w:firstLine="720"/>
        <w:jc w:val="both"/>
        <w:rPr>
          <w:sz w:val="24"/>
          <w:szCs w:val="24"/>
          <w:lang w:eastAsia="x-none"/>
        </w:rPr>
      </w:pPr>
      <w:bookmarkStart w:id="0" w:name="_Hlk63249608"/>
      <w:r w:rsidRPr="002B16DE">
        <w:rPr>
          <w:b/>
          <w:bCs/>
          <w:sz w:val="24"/>
          <w:szCs w:val="24"/>
          <w:lang w:eastAsia="x-none"/>
        </w:rPr>
        <w:t>Florida Insurance Law Group</w:t>
      </w:r>
      <w:r w:rsidRPr="002B16DE">
        <w:rPr>
          <w:b/>
          <w:bCs/>
          <w:sz w:val="24"/>
          <w:szCs w:val="24"/>
          <w:lang w:val="x-none" w:eastAsia="x-none"/>
        </w:rPr>
        <w:t xml:space="preserve">, </w:t>
      </w:r>
      <w:r w:rsidRPr="002B16DE">
        <w:rPr>
          <w:b/>
          <w:bCs/>
          <w:sz w:val="24"/>
          <w:szCs w:val="24"/>
          <w:lang w:eastAsia="x-none"/>
        </w:rPr>
        <w:t>LLC</w:t>
      </w:r>
    </w:p>
    <w:p w14:paraId="4D5FF549" w14:textId="77777777" w:rsidR="00CC608D" w:rsidRPr="002B16DE" w:rsidRDefault="00CC608D" w:rsidP="00CC608D">
      <w:pPr>
        <w:suppressAutoHyphens/>
        <w:ind w:left="4320" w:firstLine="720"/>
        <w:jc w:val="both"/>
        <w:rPr>
          <w:sz w:val="24"/>
          <w:szCs w:val="24"/>
          <w:lang w:eastAsia="x-none"/>
        </w:rPr>
      </w:pPr>
      <w:r w:rsidRPr="002B16DE">
        <w:rPr>
          <w:sz w:val="24"/>
          <w:szCs w:val="24"/>
          <w:lang w:eastAsia="x-none"/>
        </w:rPr>
        <w:t>8724 Sunset Drive, #260, Miami, FL 33173</w:t>
      </w:r>
    </w:p>
    <w:p w14:paraId="7551CAFB" w14:textId="77777777" w:rsidR="00CC608D" w:rsidRPr="002B16DE" w:rsidRDefault="00CC608D" w:rsidP="00CC608D">
      <w:pPr>
        <w:suppressAutoHyphens/>
        <w:ind w:left="4320" w:firstLine="720"/>
        <w:jc w:val="both"/>
        <w:rPr>
          <w:sz w:val="24"/>
          <w:szCs w:val="24"/>
          <w:lang w:eastAsia="x-none"/>
        </w:rPr>
      </w:pPr>
      <w:r w:rsidRPr="002B16DE">
        <w:rPr>
          <w:sz w:val="24"/>
          <w:szCs w:val="24"/>
          <w:lang w:eastAsia="x-none"/>
        </w:rPr>
        <w:t>Tel. (305) 906-4262</w:t>
      </w:r>
    </w:p>
    <w:p w14:paraId="5DE4FABD" w14:textId="77777777" w:rsidR="00CC608D" w:rsidRPr="002B16DE" w:rsidRDefault="00CC608D" w:rsidP="00CC608D">
      <w:pPr>
        <w:spacing w:line="360" w:lineRule="auto"/>
        <w:ind w:left="3600"/>
        <w:contextualSpacing/>
        <w:rPr>
          <w:sz w:val="24"/>
          <w:szCs w:val="24"/>
        </w:rPr>
      </w:pPr>
      <w:r w:rsidRPr="002B16DE">
        <w:rPr>
          <w:rFonts w:eastAsia="Calibri"/>
          <w:noProof/>
          <w:sz w:val="24"/>
          <w:szCs w:val="24"/>
        </w:rPr>
        <w:drawing>
          <wp:inline distT="0" distB="0" distL="0" distR="0" wp14:anchorId="2C0FBAD4" wp14:editId="727F223E">
            <wp:extent cx="3571875" cy="572494"/>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0790" cy="573923"/>
                    </a:xfrm>
                    <a:prstGeom prst="rect">
                      <a:avLst/>
                    </a:prstGeom>
                    <a:noFill/>
                    <a:ln>
                      <a:noFill/>
                    </a:ln>
                  </pic:spPr>
                </pic:pic>
              </a:graphicData>
            </a:graphic>
          </wp:inline>
        </w:drawing>
      </w:r>
    </w:p>
    <w:p w14:paraId="347412BB" w14:textId="77777777" w:rsidR="00CC608D" w:rsidRPr="00714A01" w:rsidRDefault="00CC608D" w:rsidP="00CC608D">
      <w:pPr>
        <w:spacing w:line="360" w:lineRule="auto"/>
        <w:ind w:left="4320" w:firstLine="720"/>
        <w:contextualSpacing/>
        <w:rPr>
          <w:sz w:val="24"/>
          <w:szCs w:val="24"/>
          <w:lang w:val="es-MX"/>
        </w:rPr>
      </w:pPr>
      <w:r w:rsidRPr="00714A01">
        <w:rPr>
          <w:sz w:val="24"/>
          <w:szCs w:val="24"/>
          <w:lang w:val="es-MX"/>
        </w:rPr>
        <w:t>Leo Manon III, Esq.</w:t>
      </w:r>
    </w:p>
    <w:p w14:paraId="63FF6341" w14:textId="77777777" w:rsidR="00CC608D" w:rsidRPr="002B16DE" w:rsidRDefault="00CC608D" w:rsidP="00CC608D">
      <w:pPr>
        <w:suppressAutoHyphens/>
        <w:ind w:left="4320" w:firstLine="720"/>
        <w:jc w:val="both"/>
        <w:rPr>
          <w:sz w:val="24"/>
          <w:szCs w:val="24"/>
          <w:lang w:val="es-US" w:eastAsia="x-none"/>
        </w:rPr>
      </w:pPr>
      <w:r w:rsidRPr="002B16DE">
        <w:rPr>
          <w:sz w:val="24"/>
          <w:szCs w:val="24"/>
          <w:lang w:val="es-US" w:eastAsia="x-none"/>
        </w:rPr>
        <w:t>Fla. Bar No. 115757</w:t>
      </w:r>
    </w:p>
    <w:p w14:paraId="578F8DDA" w14:textId="77777777" w:rsidR="00CC608D" w:rsidRPr="002B16DE" w:rsidRDefault="00CC608D" w:rsidP="00CC608D">
      <w:pPr>
        <w:suppressAutoHyphens/>
        <w:ind w:left="4320" w:firstLine="720"/>
        <w:jc w:val="both"/>
        <w:rPr>
          <w:color w:val="0563C1"/>
          <w:sz w:val="24"/>
          <w:szCs w:val="24"/>
          <w:u w:val="single"/>
          <w:lang w:val="es-US"/>
        </w:rPr>
      </w:pPr>
      <w:hyperlink r:id="rId11" w:history="1">
        <w:r w:rsidRPr="002B16DE">
          <w:rPr>
            <w:rStyle w:val="Hyperlink"/>
            <w:sz w:val="24"/>
            <w:szCs w:val="24"/>
            <w:lang w:val="es-US"/>
          </w:rPr>
          <w:t>Pleadings@flinslaw.com</w:t>
        </w:r>
      </w:hyperlink>
    </w:p>
    <w:bookmarkEnd w:id="0"/>
    <w:p w14:paraId="3941CAD9" w14:textId="77777777" w:rsidR="00CC608D" w:rsidRPr="00A5779B" w:rsidRDefault="00CC608D" w:rsidP="00CC608D">
      <w:pPr>
        <w:pStyle w:val="NoSpacing"/>
        <w:rPr>
          <w:sz w:val="24"/>
          <w:szCs w:val="24"/>
        </w:rPr>
      </w:pPr>
    </w:p>
    <w:p w14:paraId="393CD3A4" w14:textId="5F5B1EA7" w:rsidR="006A6D77" w:rsidRPr="00484DB0" w:rsidRDefault="006A6D77" w:rsidP="00484DB0"/>
    <w:sectPr w:rsidR="006A6D77" w:rsidRPr="00484DB0">
      <w:footerReference w:type="default" r:id="rId12"/>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7C93" w14:textId="77777777" w:rsidR="001C0119" w:rsidRDefault="001C0119" w:rsidP="001F3B28">
      <w:r>
        <w:separator/>
      </w:r>
    </w:p>
  </w:endnote>
  <w:endnote w:type="continuationSeparator" w:id="0">
    <w:p w14:paraId="23BA7CA4" w14:textId="77777777" w:rsidR="001C0119" w:rsidRDefault="001C0119"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1C0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CE205" w14:textId="77777777" w:rsidR="001C0119" w:rsidRDefault="001C0119" w:rsidP="001F3B28">
      <w:r>
        <w:separator/>
      </w:r>
    </w:p>
  </w:footnote>
  <w:footnote w:type="continuationSeparator" w:id="0">
    <w:p w14:paraId="0B086C54" w14:textId="77777777" w:rsidR="001C0119" w:rsidRDefault="001C0119"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7444436"/>
    <w:multiLevelType w:val="hybridMultilevel"/>
    <w:tmpl w:val="817A8E1A"/>
    <w:lvl w:ilvl="0" w:tplc="240434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9831FA"/>
    <w:multiLevelType w:val="hybridMultilevel"/>
    <w:tmpl w:val="1B7CE0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3"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29"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30"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4"/>
  </w:num>
  <w:num w:numId="4">
    <w:abstractNumId w:val="22"/>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36"/>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26"/>
  </w:num>
  <w:num w:numId="13">
    <w:abstractNumId w:val="12"/>
  </w:num>
  <w:num w:numId="14">
    <w:abstractNumId w:val="35"/>
  </w:num>
  <w:num w:numId="15">
    <w:abstractNumId w:val="4"/>
  </w:num>
  <w:num w:numId="16">
    <w:abstractNumId w:val="25"/>
  </w:num>
  <w:num w:numId="17">
    <w:abstractNumId w:val="31"/>
  </w:num>
  <w:num w:numId="18">
    <w:abstractNumId w:val="7"/>
  </w:num>
  <w:num w:numId="19">
    <w:abstractNumId w:val="5"/>
  </w:num>
  <w:num w:numId="20">
    <w:abstractNumId w:val="29"/>
  </w:num>
  <w:num w:numId="21">
    <w:abstractNumId w:val="30"/>
  </w:num>
  <w:num w:numId="22">
    <w:abstractNumId w:val="15"/>
  </w:num>
  <w:num w:numId="23">
    <w:abstractNumId w:val="20"/>
  </w:num>
  <w:num w:numId="24">
    <w:abstractNumId w:val="9"/>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8"/>
  </w:num>
  <w:num w:numId="36">
    <w:abstractNumId w:val="16"/>
  </w:num>
  <w:num w:numId="37">
    <w:abstractNumId w:val="2"/>
  </w:num>
  <w:num w:numId="38">
    <w:abstractNumId w:val="8"/>
  </w:num>
  <w:num w:numId="39">
    <w:abstractNumId w:val="24"/>
  </w:num>
  <w:num w:numId="40">
    <w:abstractNumId w:val="27"/>
  </w:num>
  <w:num w:numId="41">
    <w:abstractNumId w:val="19"/>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43B0C"/>
    <w:rsid w:val="001519A7"/>
    <w:rsid w:val="0015630D"/>
    <w:rsid w:val="00180ABD"/>
    <w:rsid w:val="001A575C"/>
    <w:rsid w:val="001C0119"/>
    <w:rsid w:val="001E56E0"/>
    <w:rsid w:val="001F3B28"/>
    <w:rsid w:val="00273C84"/>
    <w:rsid w:val="0028323D"/>
    <w:rsid w:val="00293A4C"/>
    <w:rsid w:val="0029482B"/>
    <w:rsid w:val="002B17D5"/>
    <w:rsid w:val="002B7CC3"/>
    <w:rsid w:val="002C3769"/>
    <w:rsid w:val="002E5FFF"/>
    <w:rsid w:val="00305522"/>
    <w:rsid w:val="00326768"/>
    <w:rsid w:val="00331D40"/>
    <w:rsid w:val="00343FAC"/>
    <w:rsid w:val="0037409B"/>
    <w:rsid w:val="003C122A"/>
    <w:rsid w:val="003F6114"/>
    <w:rsid w:val="004133E9"/>
    <w:rsid w:val="00422939"/>
    <w:rsid w:val="004839DC"/>
    <w:rsid w:val="00484DB0"/>
    <w:rsid w:val="004A04BF"/>
    <w:rsid w:val="004C4EE3"/>
    <w:rsid w:val="00511039"/>
    <w:rsid w:val="00514516"/>
    <w:rsid w:val="0056558B"/>
    <w:rsid w:val="005B6359"/>
    <w:rsid w:val="005E0685"/>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A7C85"/>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B0568"/>
    <w:rsid w:val="00CC608D"/>
    <w:rsid w:val="00D16880"/>
    <w:rsid w:val="00D91021"/>
    <w:rsid w:val="00DF2284"/>
    <w:rsid w:val="00DF556F"/>
    <w:rsid w:val="00E202C7"/>
    <w:rsid w:val="00E85580"/>
    <w:rsid w:val="00ED3E9E"/>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law.com/Link/Document/FullText?findType=Y&amp;serNum=1989145002&amp;pubNum=0000735&amp;originatingDoc=Id2b44c2009da11e580f3d2d5f43c7970&amp;refType=RP&amp;originationContext=document&amp;vr=3.0&amp;rs=cblt1.0&amp;transitionType=DocumentItem&amp;contextData=(sc.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g.state.fl.us/statutes/index.cfm?App_mode=Display_Statute&amp;Search_String=&amp;URL=0000-0099/0055/Sections/0055.03.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leadings@flinslaw.com"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westlaw.com/Link/Document/FullText?findType=Y&amp;serNum=1991186430&amp;pubNum=0000735&amp;originatingDoc=Id2b44c2009da11e580f3d2d5f43c7970&amp;refType=RP&amp;originationContext=document&amp;vr=3.0&amp;rs=cblt1.0&amp;transitionType=DocumentItem&amp;contextData=(sc.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939</Words>
  <Characters>5185</Characters>
  <Application>Microsoft Office Word</Application>
  <DocSecurity>0</DocSecurity>
  <Lines>117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2022-02-20T01:49:00Z</dcterms:created>
  <dcterms:modified xsi:type="dcterms:W3CDTF">2022-02-20T01:49:00Z</dcterms:modified>
</cp:coreProperties>
</file>