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44A3" w14:textId="77777777" w:rsidR="00B27C14" w:rsidRDefault="00B27C14" w:rsidP="00B27C14">
      <w:pPr>
        <w:ind w:left="720" w:right="720"/>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387FDA63" w14:textId="77777777" w:rsidR="00B27C14" w:rsidRPr="005F1FB7" w:rsidRDefault="00B27C14" w:rsidP="00B27C14">
      <w:pPr>
        <w:jc w:val="center"/>
        <w:rPr>
          <w:rFonts w:asciiTheme="majorBidi" w:hAnsiTheme="majorBidi" w:cstheme="majorBidi"/>
          <w:sz w:val="24"/>
          <w:szCs w:val="24"/>
        </w:rPr>
      </w:pPr>
    </w:p>
    <w:tbl>
      <w:tblPr>
        <w:tblStyle w:val="TableGrid"/>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00"/>
      </w:tblGrid>
      <w:tr w:rsidR="00B27C14" w:rsidRPr="005F1FB7" w14:paraId="6251715E" w14:textId="77777777" w:rsidTr="00B86712">
        <w:tc>
          <w:tcPr>
            <w:tcW w:w="5040" w:type="dxa"/>
          </w:tcPr>
          <w:p w14:paraId="1BE9D225"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742FA889"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a/a/o &lt;&lt;INJUREDPARTY_NAME&gt;&gt;</w:t>
            </w:r>
            <w:r w:rsidRPr="005F1FB7">
              <w:rPr>
                <w:rFonts w:asciiTheme="majorBidi" w:hAnsiTheme="majorBidi" w:cstheme="majorBidi"/>
                <w:sz w:val="24"/>
                <w:szCs w:val="24"/>
              </w:rPr>
              <w:tab/>
              <w:t xml:space="preserve">                                            </w:t>
            </w:r>
          </w:p>
          <w:p w14:paraId="63617A77"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2DA41A3F"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0B8FB5C3" w14:textId="77777777" w:rsidR="00B27C14" w:rsidRPr="005F1FB7" w:rsidRDefault="00B27C14" w:rsidP="00B86712">
            <w:pPr>
              <w:rPr>
                <w:rFonts w:asciiTheme="majorBidi" w:hAnsiTheme="majorBidi" w:cstheme="majorBidi"/>
                <w:sz w:val="24"/>
                <w:szCs w:val="24"/>
              </w:rPr>
            </w:pPr>
          </w:p>
          <w:p w14:paraId="233CA946"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vs.</w:t>
            </w:r>
          </w:p>
          <w:p w14:paraId="69369514" w14:textId="77777777" w:rsidR="00B27C14" w:rsidRPr="005F1FB7" w:rsidRDefault="00B27C14" w:rsidP="00B86712">
            <w:pPr>
              <w:rPr>
                <w:rFonts w:asciiTheme="majorBidi" w:hAnsiTheme="majorBidi" w:cstheme="majorBidi"/>
                <w:sz w:val="24"/>
                <w:szCs w:val="24"/>
              </w:rPr>
            </w:pPr>
          </w:p>
          <w:p w14:paraId="6E021860"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616DFB3B" w14:textId="77777777" w:rsidR="00B27C14" w:rsidRPr="005F1FB7" w:rsidRDefault="00B27C14" w:rsidP="00B86712">
            <w:pPr>
              <w:rPr>
                <w:rFonts w:asciiTheme="majorBidi" w:hAnsiTheme="majorBidi" w:cstheme="majorBidi"/>
                <w:sz w:val="24"/>
                <w:szCs w:val="24"/>
              </w:rPr>
            </w:pPr>
          </w:p>
          <w:p w14:paraId="534BF70D" w14:textId="77777777" w:rsidR="00B27C14" w:rsidRDefault="00B27C14"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245187CA" w14:textId="77777777" w:rsidR="00B27C14" w:rsidRPr="005F1FB7" w:rsidRDefault="00B27C14"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tc>
        <w:tc>
          <w:tcPr>
            <w:tcW w:w="4500" w:type="dxa"/>
          </w:tcPr>
          <w:p w14:paraId="66D31098" w14:textId="77777777" w:rsidR="00B27C14" w:rsidRPr="005F1FB7" w:rsidRDefault="00B27C14"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4A308A9C" w14:textId="77777777" w:rsidR="00B27C14" w:rsidRPr="005F1FB7" w:rsidRDefault="00B27C14" w:rsidP="00B86712">
            <w:pPr>
              <w:rPr>
                <w:rFonts w:asciiTheme="majorBidi" w:hAnsiTheme="majorBidi" w:cstheme="majorBidi"/>
                <w:sz w:val="24"/>
                <w:szCs w:val="24"/>
              </w:rPr>
            </w:pPr>
          </w:p>
          <w:p w14:paraId="43425205" w14:textId="77777777" w:rsidR="00B27C14" w:rsidRPr="005F1FB7" w:rsidRDefault="00B27C14" w:rsidP="00B86712">
            <w:pPr>
              <w:rPr>
                <w:rFonts w:asciiTheme="majorBidi" w:hAnsiTheme="majorBidi" w:cstheme="majorBidi"/>
                <w:sz w:val="24"/>
                <w:szCs w:val="24"/>
              </w:rPr>
            </w:pPr>
          </w:p>
        </w:tc>
      </w:tr>
    </w:tbl>
    <w:p w14:paraId="6976FE09" w14:textId="77777777" w:rsidR="00B27C14" w:rsidRDefault="00B27C14" w:rsidP="00B27C14">
      <w:pPr>
        <w:rPr>
          <w:sz w:val="24"/>
        </w:rPr>
      </w:pPr>
    </w:p>
    <w:p w14:paraId="14FC85C6" w14:textId="77777777" w:rsidR="00B27C14" w:rsidRDefault="00B27C14" w:rsidP="00B27C14">
      <w:pPr>
        <w:pStyle w:val="BodyText"/>
        <w:jc w:val="center"/>
        <w:rPr>
          <w:b/>
          <w:szCs w:val="24"/>
          <w:u w:val="single"/>
        </w:rPr>
      </w:pPr>
      <w:r>
        <w:rPr>
          <w:b/>
          <w:szCs w:val="24"/>
          <w:u w:val="single"/>
        </w:rPr>
        <w:t>PLAINTIFF’S MOTION FOR RELIEF FROM TECHNICAL ADMISSIONS</w:t>
      </w:r>
    </w:p>
    <w:p w14:paraId="36A4C2FD" w14:textId="77777777" w:rsidR="00B27C14" w:rsidRDefault="00B27C14" w:rsidP="00B27C14">
      <w:pPr>
        <w:pStyle w:val="BodyText"/>
        <w:rPr>
          <w:szCs w:val="24"/>
        </w:rPr>
      </w:pPr>
      <w:r>
        <w:rPr>
          <w:szCs w:val="24"/>
        </w:rPr>
        <w:tab/>
      </w:r>
      <w:r w:rsidRPr="00CC0C0C">
        <w:rPr>
          <w:b/>
          <w:szCs w:val="24"/>
        </w:rPr>
        <w:t>COMES NOW</w:t>
      </w:r>
      <w:r>
        <w:rPr>
          <w:b/>
          <w:szCs w:val="24"/>
        </w:rPr>
        <w:t xml:space="preserve"> </w:t>
      </w:r>
      <w:r w:rsidRPr="00F616BB">
        <w:rPr>
          <w:szCs w:val="24"/>
        </w:rPr>
        <w:t>&lt;&lt;PROVIDER_SUITNAME&gt;&gt;</w:t>
      </w:r>
      <w:r>
        <w:rPr>
          <w:szCs w:val="24"/>
        </w:rPr>
        <w:t xml:space="preserve">, by and through the undersigned counsel, hereby </w:t>
      </w:r>
      <w:r>
        <w:rPr>
          <w:spacing w:val="-3"/>
          <w:szCs w:val="24"/>
        </w:rPr>
        <w:t>files this Motion for Relief from Technical Admissions, and in support thereof further state:</w:t>
      </w:r>
    </w:p>
    <w:p w14:paraId="69D93761" w14:textId="77777777" w:rsidR="00B27C14" w:rsidRPr="00C7181F" w:rsidRDefault="00B27C14" w:rsidP="00B27C14">
      <w:pPr>
        <w:pStyle w:val="BodyText"/>
        <w:numPr>
          <w:ilvl w:val="0"/>
          <w:numId w:val="49"/>
        </w:numPr>
        <w:ind w:left="0" w:firstLine="720"/>
      </w:pPr>
      <w:r w:rsidRPr="00F616BB">
        <w:rPr>
          <w:szCs w:val="24"/>
        </w:rPr>
        <w:t>&lt;&lt;PROVIDER_SUITNAME&gt;&gt;</w:t>
      </w:r>
      <w:r>
        <w:rPr>
          <w:szCs w:val="24"/>
        </w:rPr>
        <w:t xml:space="preserve">, filed the instant lawsuit against </w:t>
      </w:r>
      <w:r w:rsidRPr="005F1FB7">
        <w:rPr>
          <w:rFonts w:asciiTheme="majorBidi" w:hAnsiTheme="majorBidi" w:cstheme="majorBidi"/>
          <w:szCs w:val="24"/>
        </w:rPr>
        <w:t>&lt;&lt;INSURANCECOMPANY_SUITNAME&gt;&gt;</w:t>
      </w:r>
      <w:r w:rsidRPr="00C7181F">
        <w:t>,</w:t>
      </w:r>
      <w:r>
        <w:t xml:space="preserve"> on </w:t>
      </w:r>
      <w:r w:rsidRPr="00F616BB">
        <w:rPr>
          <w:highlight w:val="yellow"/>
        </w:rPr>
        <w:t>[Date lawsuit filed]</w:t>
      </w:r>
      <w:r>
        <w:t>.</w:t>
      </w:r>
    </w:p>
    <w:p w14:paraId="4D2E6B6A" w14:textId="77777777" w:rsidR="00B27C14" w:rsidRDefault="00B27C14" w:rsidP="00B27C14">
      <w:pPr>
        <w:pStyle w:val="BodyText"/>
        <w:numPr>
          <w:ilvl w:val="0"/>
          <w:numId w:val="49"/>
        </w:numPr>
        <w:ind w:left="0" w:firstLine="720"/>
        <w:rPr>
          <w:szCs w:val="24"/>
        </w:rPr>
      </w:pPr>
      <w:r>
        <w:rPr>
          <w:szCs w:val="24"/>
        </w:rPr>
        <w:t xml:space="preserve">Defendant served its Request for Admissions on </w:t>
      </w:r>
      <w:r w:rsidRPr="00F616BB">
        <w:rPr>
          <w:szCs w:val="24"/>
          <w:highlight w:val="yellow"/>
        </w:rPr>
        <w:t>[Date admissions served]</w:t>
      </w:r>
      <w:r>
        <w:rPr>
          <w:szCs w:val="24"/>
        </w:rPr>
        <w:t>.</w:t>
      </w:r>
    </w:p>
    <w:p w14:paraId="08DB9FEC" w14:textId="77777777" w:rsidR="00B27C14" w:rsidRDefault="00B27C14" w:rsidP="00B27C14">
      <w:pPr>
        <w:pStyle w:val="BodyText"/>
        <w:numPr>
          <w:ilvl w:val="0"/>
          <w:numId w:val="49"/>
        </w:numPr>
        <w:ind w:left="0" w:firstLine="720"/>
        <w:rPr>
          <w:szCs w:val="24"/>
        </w:rPr>
      </w:pPr>
      <w:r>
        <w:rPr>
          <w:szCs w:val="24"/>
        </w:rPr>
        <w:t xml:space="preserve">Plaintiff responded to Defendant’s Request for Admissions on </w:t>
      </w:r>
      <w:r w:rsidRPr="00F616BB">
        <w:rPr>
          <w:szCs w:val="24"/>
          <w:highlight w:val="yellow"/>
        </w:rPr>
        <w:t>[Date of response to admissions]</w:t>
      </w:r>
      <w:r>
        <w:rPr>
          <w:szCs w:val="24"/>
        </w:rPr>
        <w:t>.</w:t>
      </w:r>
    </w:p>
    <w:p w14:paraId="6C92CF1D" w14:textId="77777777" w:rsidR="00B27C14" w:rsidRPr="00C7181F" w:rsidRDefault="00B27C14" w:rsidP="00B27C14">
      <w:pPr>
        <w:pStyle w:val="BodyText"/>
        <w:jc w:val="center"/>
        <w:rPr>
          <w:b/>
          <w:szCs w:val="24"/>
        </w:rPr>
      </w:pPr>
      <w:r w:rsidRPr="00C7181F">
        <w:rPr>
          <w:b/>
          <w:szCs w:val="24"/>
        </w:rPr>
        <w:t>MEMORANDUM OF LAW</w:t>
      </w:r>
    </w:p>
    <w:p w14:paraId="57207615" w14:textId="77777777" w:rsidR="00B27C14" w:rsidRPr="00C7181F" w:rsidRDefault="00B27C14" w:rsidP="00B27C14">
      <w:pPr>
        <w:pStyle w:val="BodyText"/>
        <w:ind w:firstLine="720"/>
        <w:rPr>
          <w:szCs w:val="24"/>
        </w:rPr>
      </w:pPr>
      <w:r w:rsidRPr="00C7181F">
        <w:rPr>
          <w:szCs w:val="24"/>
        </w:rPr>
        <w:t xml:space="preserve">Florida Rule of Civil Procedure 1.370 provides guidance for the issuance of requests for admission and answering such requests. Courts liberally construe the provisions of Florida Rule of Civil Procedure 1.370 to promote decisions based on the merits of cases as opposed to basing decisions on technical admissions. </w:t>
      </w:r>
      <w:r w:rsidRPr="00C7181F">
        <w:rPr>
          <w:szCs w:val="24"/>
          <w:u w:val="single"/>
        </w:rPr>
        <w:t>Ramos v. Growing Together, Inc.</w:t>
      </w:r>
      <w:r w:rsidRPr="00C7181F">
        <w:rPr>
          <w:szCs w:val="24"/>
        </w:rPr>
        <w:t xml:space="preserve">, 672 So.2d 103, 104 (Fla. 4th DCA 1996). In Ramos, the court noted, “The use of admissions obtained through a technicality should not form a basis to preclude adjudication of a legitimate claim.” Id. quoting, </w:t>
      </w:r>
      <w:r w:rsidRPr="00C7181F">
        <w:rPr>
          <w:szCs w:val="24"/>
          <w:u w:val="single"/>
        </w:rPr>
        <w:t>Sterling v. City of West Palm Beach</w:t>
      </w:r>
      <w:r w:rsidRPr="00C7181F">
        <w:rPr>
          <w:szCs w:val="24"/>
        </w:rPr>
        <w:t xml:space="preserve">, 595 So.2d 284, 285 (Fla. 4th DCA 1994). As such, the technical </w:t>
      </w:r>
      <w:r w:rsidRPr="00C7181F">
        <w:rPr>
          <w:szCs w:val="24"/>
        </w:rPr>
        <w:lastRenderedPageBreak/>
        <w:t>admissions sought by Defendant in this case should not be used as a basis for a decision on the ultimate issues.</w:t>
      </w:r>
    </w:p>
    <w:p w14:paraId="135EE8DC" w14:textId="77777777" w:rsidR="00B27C14" w:rsidRPr="00C7181F" w:rsidRDefault="00B27C14" w:rsidP="00B27C14">
      <w:pPr>
        <w:pStyle w:val="BodyText"/>
        <w:ind w:firstLine="720"/>
        <w:rPr>
          <w:szCs w:val="24"/>
        </w:rPr>
      </w:pPr>
      <w:r w:rsidRPr="00C7181F">
        <w:rPr>
          <w:szCs w:val="24"/>
        </w:rPr>
        <w:t xml:space="preserve">Furthermore, subpart b of Florida Rule of Civil Procedure 1.370 permits courts to allow a party to amend answers to requests for admissions. In the event a party obtains technical admissions via an untimely response, the opposing party may move for relief from those technical admissions. Fla. R. Civ. P. 1.370.  It is within the trial court's discretion to grant or deny the motion for relief. </w:t>
      </w:r>
      <w:r w:rsidRPr="00C7181F">
        <w:rPr>
          <w:i/>
          <w:szCs w:val="24"/>
        </w:rPr>
        <w:t>See generally</w:t>
      </w:r>
      <w:r w:rsidRPr="00C7181F">
        <w:rPr>
          <w:szCs w:val="24"/>
        </w:rPr>
        <w:t xml:space="preserve">, </w:t>
      </w:r>
      <w:r w:rsidRPr="00C7181F">
        <w:rPr>
          <w:szCs w:val="24"/>
          <w:u w:val="single"/>
        </w:rPr>
        <w:t>Thomas v. Chase Manhattan Bank</w:t>
      </w:r>
      <w:r w:rsidRPr="00C7181F">
        <w:rPr>
          <w:szCs w:val="24"/>
        </w:rPr>
        <w:t xml:space="preserve">, 875 So.2d 758 (Fla. 4th DCA 2004). However, when a motion for relief or other pleading asserts the technical admissions are contrary to the true facts of the case, the burden rests upon the party who obtained the technical admissions to prove it would be prejudiced by granting the motion for relief. Id. at 760, </w:t>
      </w:r>
      <w:r w:rsidRPr="00C7181F">
        <w:rPr>
          <w:szCs w:val="24"/>
          <w:u w:val="single"/>
        </w:rPr>
        <w:t>Ramos</w:t>
      </w:r>
      <w:r w:rsidRPr="00C7181F">
        <w:rPr>
          <w:szCs w:val="24"/>
        </w:rPr>
        <w:t xml:space="preserve">, 672 So.2d at 104. The </w:t>
      </w:r>
      <w:r w:rsidRPr="00887E5D">
        <w:rPr>
          <w:szCs w:val="24"/>
          <w:u w:val="single"/>
        </w:rPr>
        <w:t>Ramos</w:t>
      </w:r>
      <w:r w:rsidRPr="00C7181F">
        <w:rPr>
          <w:szCs w:val="24"/>
        </w:rPr>
        <w:t xml:space="preserve"> and </w:t>
      </w:r>
      <w:r w:rsidRPr="00887E5D">
        <w:rPr>
          <w:szCs w:val="24"/>
          <w:u w:val="single"/>
        </w:rPr>
        <w:t>Thomas</w:t>
      </w:r>
      <w:r w:rsidRPr="00C7181F">
        <w:rPr>
          <w:szCs w:val="24"/>
        </w:rPr>
        <w:t xml:space="preserve"> courts relied on the pertinent part of Florida Rule of Civil Procedure 1.370(b) which provides,</w:t>
      </w:r>
    </w:p>
    <w:p w14:paraId="3B18029C" w14:textId="77777777" w:rsidR="00B27C14" w:rsidRPr="00C7181F" w:rsidRDefault="00B27C14" w:rsidP="00B27C14">
      <w:pPr>
        <w:pStyle w:val="BodyText"/>
        <w:ind w:firstLine="720"/>
        <w:rPr>
          <w:szCs w:val="24"/>
        </w:rPr>
      </w:pPr>
      <w:r w:rsidRPr="00C7181F">
        <w:rPr>
          <w:szCs w:val="24"/>
        </w:rPr>
        <w:t>“[T]he court may permit withdrawal or amendment when the presentation of the merits of the action will be subserved by it and the party who obtained the admission fails to satisfy the court that withdrawal or amendment will prejudice that party in maintaining an action or defense on the merits.” (Emphasis added.)</w:t>
      </w:r>
    </w:p>
    <w:p w14:paraId="2328E77A" w14:textId="77777777" w:rsidR="00B27C14" w:rsidRPr="00C7181F" w:rsidRDefault="00B27C14" w:rsidP="00B27C14">
      <w:pPr>
        <w:pStyle w:val="BodyText"/>
        <w:ind w:firstLine="720"/>
        <w:rPr>
          <w:szCs w:val="24"/>
        </w:rPr>
      </w:pPr>
      <w:r w:rsidRPr="00C7181F">
        <w:rPr>
          <w:szCs w:val="24"/>
        </w:rPr>
        <w:t xml:space="preserve">Thus, Defendant in this action has a burden to show the court why </w:t>
      </w:r>
      <w:r>
        <w:t>Plaintiff’</w:t>
      </w:r>
      <w:r w:rsidRPr="00C7181F">
        <w:rPr>
          <w:szCs w:val="24"/>
        </w:rPr>
        <w:t>s Motion for Relief should not be granted. Specifically, Defendant has a burden to show why, and how, it would be prejudiced if this Court did not deem Defendant's Requests for Admissions admitted.</w:t>
      </w:r>
    </w:p>
    <w:p w14:paraId="7344EDC3" w14:textId="77777777" w:rsidR="00B27C14" w:rsidRPr="00C7181F" w:rsidRDefault="00B27C14" w:rsidP="00B27C14">
      <w:pPr>
        <w:pStyle w:val="BodyText"/>
        <w:ind w:firstLine="720"/>
        <w:rPr>
          <w:szCs w:val="24"/>
        </w:rPr>
      </w:pPr>
      <w:r w:rsidRPr="00C7181F">
        <w:rPr>
          <w:szCs w:val="24"/>
        </w:rPr>
        <w:t xml:space="preserve"> </w:t>
      </w:r>
    </w:p>
    <w:p w14:paraId="366245C1" w14:textId="77777777" w:rsidR="00B27C14" w:rsidRDefault="00B27C14" w:rsidP="00B27C14">
      <w:pPr>
        <w:pStyle w:val="BodyText"/>
        <w:ind w:firstLine="720"/>
        <w:rPr>
          <w:szCs w:val="24"/>
        </w:rPr>
      </w:pPr>
      <w:r w:rsidRPr="00C7181F">
        <w:rPr>
          <w:szCs w:val="24"/>
        </w:rPr>
        <w:t xml:space="preserve">In conclusion, this Court should grant Plaintiff's Motion for Relief from Technical Admissions for two reasons. First, deeming Defendant's requests admitted, thus forming a basis for the opinion on ultimate issues in this case is against the liberal rule favoring amendment. </w:t>
      </w:r>
      <w:r w:rsidRPr="00C7181F">
        <w:rPr>
          <w:szCs w:val="24"/>
        </w:rPr>
        <w:lastRenderedPageBreak/>
        <w:t>Second, Defendant has not demonstrated to this Court how relief from the technical admissions would prejudice it in this case.</w:t>
      </w:r>
    </w:p>
    <w:p w14:paraId="731AD6F3" w14:textId="77777777" w:rsidR="00B27C14" w:rsidRDefault="00B27C14" w:rsidP="00B27C14">
      <w:pPr>
        <w:pStyle w:val="BodyText"/>
        <w:rPr>
          <w:spacing w:val="-3"/>
          <w:szCs w:val="24"/>
        </w:rPr>
      </w:pPr>
      <w:r>
        <w:rPr>
          <w:szCs w:val="24"/>
        </w:rPr>
        <w:tab/>
        <w:t xml:space="preserve">WHEREFORE, </w:t>
      </w:r>
      <w:r w:rsidRPr="00F616BB">
        <w:t>&lt;&lt;PROVIDER_SUITNAME&gt;&gt;</w:t>
      </w:r>
      <w:r>
        <w:rPr>
          <w:szCs w:val="24"/>
        </w:rPr>
        <w:t>,</w:t>
      </w:r>
      <w:r>
        <w:t xml:space="preserve"> </w:t>
      </w:r>
      <w:r>
        <w:rPr>
          <w:spacing w:val="-3"/>
          <w:szCs w:val="24"/>
        </w:rPr>
        <w:t>request the Court enter an Order granting this motion, and grant such other further relief that is just and appropriate under the circumstances.</w:t>
      </w:r>
    </w:p>
    <w:p w14:paraId="67B5204F" w14:textId="77777777" w:rsidR="00B27C14" w:rsidRDefault="00B27C14" w:rsidP="00B27C14">
      <w:pPr>
        <w:pStyle w:val="BodyText"/>
        <w:jc w:val="center"/>
        <w:rPr>
          <w:b/>
          <w:szCs w:val="24"/>
          <w:u w:val="single"/>
        </w:rPr>
      </w:pPr>
    </w:p>
    <w:p w14:paraId="2AA5769A" w14:textId="77777777" w:rsidR="00B27C14" w:rsidRDefault="00B27C14" w:rsidP="00B27C14">
      <w:pPr>
        <w:pStyle w:val="BodyText"/>
        <w:jc w:val="center"/>
        <w:rPr>
          <w:b/>
          <w:szCs w:val="24"/>
          <w:u w:val="single"/>
        </w:rPr>
      </w:pPr>
      <w:r>
        <w:rPr>
          <w:b/>
          <w:szCs w:val="24"/>
          <w:u w:val="single"/>
        </w:rPr>
        <w:t>CERTIFICATE OF SERVICE</w:t>
      </w:r>
    </w:p>
    <w:p w14:paraId="28C3CE1C" w14:textId="77777777" w:rsidR="00B27C14" w:rsidRPr="00C535C8" w:rsidRDefault="00B27C14" w:rsidP="00B27C14">
      <w:pPr>
        <w:pStyle w:val="SingleSpacing"/>
        <w:keepNext/>
        <w:spacing w:line="480" w:lineRule="auto"/>
        <w:jc w:val="both"/>
        <w:rPr>
          <w:sz w:val="24"/>
          <w:szCs w:val="24"/>
        </w:rPr>
      </w:pPr>
      <w:r w:rsidRPr="00B90BE6">
        <w:rPr>
          <w:sz w:val="24"/>
          <w:szCs w:val="24"/>
        </w:rPr>
        <w:t xml:space="preserve">I HEREBY CERTIFY that on </w:t>
      </w:r>
      <w:r w:rsidRPr="00B90BE6">
        <w:rPr>
          <w:sz w:val="24"/>
          <w:szCs w:val="24"/>
        </w:rPr>
        <w:fldChar w:fldCharType="begin"/>
      </w:r>
      <w:r w:rsidRPr="00B90BE6">
        <w:rPr>
          <w:sz w:val="24"/>
          <w:szCs w:val="24"/>
        </w:rPr>
        <w:instrText xml:space="preserve"> DATE \@ "MMMM d, yyyy" </w:instrText>
      </w:r>
      <w:r w:rsidRPr="00B90BE6">
        <w:rPr>
          <w:sz w:val="24"/>
          <w:szCs w:val="24"/>
        </w:rPr>
        <w:fldChar w:fldCharType="separate"/>
      </w:r>
      <w:r>
        <w:rPr>
          <w:noProof/>
          <w:sz w:val="24"/>
          <w:szCs w:val="24"/>
        </w:rPr>
        <w:t>February 19, 2022</w:t>
      </w:r>
      <w:r w:rsidRPr="00B90BE6">
        <w:rPr>
          <w:sz w:val="24"/>
          <w:szCs w:val="24"/>
        </w:rPr>
        <w:fldChar w:fldCharType="end"/>
      </w:r>
      <w:r w:rsidRPr="00B90BE6">
        <w:rPr>
          <w:sz w:val="24"/>
          <w:szCs w:val="24"/>
        </w:rPr>
        <w:t>, a true and correct copy of the foregoing was filed and served on the Defendant through Florida Courts E-Filing Portal.</w:t>
      </w:r>
    </w:p>
    <w:p w14:paraId="7AC6CBAE" w14:textId="77777777" w:rsidR="00B27C14" w:rsidRPr="005F1FB7" w:rsidRDefault="00B27C14" w:rsidP="00B27C14">
      <w:pPr>
        <w:suppressAutoHyphens/>
        <w:ind w:left="4320" w:firstLine="720"/>
        <w:jc w:val="both"/>
        <w:rPr>
          <w:rFonts w:asciiTheme="majorBidi" w:hAnsiTheme="majorBidi" w:cstheme="majorBidi"/>
          <w:sz w:val="24"/>
          <w:szCs w:val="24"/>
          <w:lang w:eastAsia="x-none"/>
        </w:rPr>
      </w:pPr>
      <w:r w:rsidRPr="004A6457">
        <w:rPr>
          <w:rFonts w:asciiTheme="majorBidi" w:hAnsiTheme="majorBidi" w:cstheme="majorBidi"/>
          <w:b/>
          <w:bCs/>
          <w:sz w:val="24"/>
          <w:szCs w:val="24"/>
          <w:lang w:eastAsia="x-none"/>
        </w:rPr>
        <w:t>Florida Insurance Law Group</w:t>
      </w:r>
      <w:r w:rsidRPr="004A6457">
        <w:rPr>
          <w:rFonts w:asciiTheme="majorBidi" w:hAnsiTheme="majorBidi" w:cstheme="majorBidi"/>
          <w:b/>
          <w:bCs/>
          <w:sz w:val="24"/>
          <w:szCs w:val="24"/>
          <w:lang w:val="x-none" w:eastAsia="x-none"/>
        </w:rPr>
        <w:t xml:space="preserve">, </w:t>
      </w:r>
      <w:r w:rsidRPr="004A6457">
        <w:rPr>
          <w:rFonts w:asciiTheme="majorBidi" w:hAnsiTheme="majorBidi" w:cstheme="majorBidi"/>
          <w:b/>
          <w:bCs/>
          <w:sz w:val="24"/>
          <w:szCs w:val="24"/>
          <w:lang w:eastAsia="x-none"/>
        </w:rPr>
        <w:t>LLC</w:t>
      </w:r>
    </w:p>
    <w:p w14:paraId="3780C54D" w14:textId="77777777" w:rsidR="00B27C14" w:rsidRPr="005F1FB7" w:rsidRDefault="00B27C14" w:rsidP="00B27C14">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8724 Sunset Drive, #260, Miami, FL 33173</w:t>
      </w:r>
    </w:p>
    <w:p w14:paraId="621DF4CF" w14:textId="77777777" w:rsidR="00B27C14" w:rsidRPr="005F1FB7" w:rsidRDefault="00B27C14" w:rsidP="00B27C14">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Tel. (305) 906-4262</w:t>
      </w:r>
    </w:p>
    <w:p w14:paraId="3245A13C" w14:textId="77777777" w:rsidR="00B27C14" w:rsidRPr="005F1FB7" w:rsidRDefault="00B27C14" w:rsidP="00B27C14">
      <w:pPr>
        <w:suppressAutoHyphens/>
        <w:ind w:left="4320" w:firstLine="720"/>
        <w:jc w:val="both"/>
        <w:rPr>
          <w:rFonts w:asciiTheme="majorBidi" w:hAnsiTheme="majorBidi" w:cstheme="majorBidi"/>
          <w:sz w:val="24"/>
          <w:szCs w:val="24"/>
          <w:lang w:val="es-ES" w:eastAsia="x-none"/>
        </w:rPr>
      </w:pPr>
      <w:r w:rsidRPr="005F1FB7">
        <w:rPr>
          <w:rFonts w:asciiTheme="majorBidi" w:eastAsia="Calibri" w:hAnsiTheme="majorBidi" w:cstheme="majorBidi"/>
          <w:noProof/>
          <w:sz w:val="24"/>
          <w:szCs w:val="24"/>
        </w:rPr>
        <w:drawing>
          <wp:inline distT="0" distB="0" distL="0" distR="0" wp14:anchorId="07B8F090" wp14:editId="5CF17278">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34475430" w14:textId="77777777" w:rsidR="00B27C14" w:rsidRPr="005F1FB7" w:rsidRDefault="00B27C14" w:rsidP="00B27C14">
      <w:pPr>
        <w:suppressAutoHyphens/>
        <w:ind w:left="5040"/>
        <w:jc w:val="both"/>
        <w:rPr>
          <w:rFonts w:asciiTheme="majorBidi" w:hAnsiTheme="majorBidi" w:cstheme="majorBidi"/>
          <w:sz w:val="24"/>
          <w:szCs w:val="24"/>
          <w:lang w:val="es-ES" w:eastAsia="x-none"/>
        </w:rPr>
      </w:pPr>
      <w:r w:rsidRPr="005F1FB7">
        <w:rPr>
          <w:rFonts w:asciiTheme="majorBidi" w:hAnsiTheme="majorBidi" w:cstheme="majorBidi"/>
          <w:sz w:val="24"/>
          <w:szCs w:val="24"/>
          <w:lang w:val="es-ES" w:eastAsia="x-none"/>
        </w:rPr>
        <w:t>Robert F. Gonzalez, Esq.</w:t>
      </w:r>
    </w:p>
    <w:p w14:paraId="2F7583AA" w14:textId="77777777" w:rsidR="00B27C14" w:rsidRDefault="00B27C14" w:rsidP="00B27C14">
      <w:pPr>
        <w:suppressAutoHyphens/>
        <w:ind w:left="4320" w:firstLine="720"/>
        <w:jc w:val="both"/>
        <w:rPr>
          <w:rFonts w:asciiTheme="majorBidi" w:hAnsiTheme="majorBidi" w:cstheme="majorBidi"/>
          <w:sz w:val="24"/>
          <w:szCs w:val="24"/>
          <w:lang w:val="es-US" w:eastAsia="x-none"/>
        </w:rPr>
      </w:pPr>
      <w:r w:rsidRPr="005F1FB7">
        <w:rPr>
          <w:rFonts w:asciiTheme="majorBidi" w:hAnsiTheme="majorBidi" w:cstheme="majorBidi"/>
          <w:sz w:val="24"/>
          <w:szCs w:val="24"/>
          <w:lang w:val="es-US" w:eastAsia="x-none"/>
        </w:rPr>
        <w:t>Fla. Bar No. 68865</w:t>
      </w:r>
    </w:p>
    <w:p w14:paraId="4A48DC83" w14:textId="77777777" w:rsidR="00B27C14" w:rsidRPr="006D3B77" w:rsidRDefault="00B27C14" w:rsidP="00B27C14">
      <w:pPr>
        <w:suppressAutoHyphens/>
        <w:ind w:left="4320" w:firstLine="720"/>
        <w:jc w:val="both"/>
        <w:rPr>
          <w:rStyle w:val="Hyperlink"/>
          <w:rFonts w:asciiTheme="majorBidi" w:hAnsiTheme="majorBidi" w:cstheme="majorBidi"/>
          <w:sz w:val="24"/>
          <w:szCs w:val="24"/>
          <w:lang w:val="es-US" w:eastAsia="x-none"/>
        </w:rPr>
      </w:pPr>
      <w:hyperlink r:id="rId8" w:history="1">
        <w:r w:rsidRPr="00963D0A">
          <w:rPr>
            <w:rStyle w:val="Hyperlink"/>
            <w:rFonts w:asciiTheme="majorBidi" w:hAnsiTheme="majorBidi" w:cstheme="majorBidi"/>
            <w:sz w:val="24"/>
            <w:szCs w:val="24"/>
            <w:lang w:val="es-US"/>
          </w:rPr>
          <w:t>Pleadings@flinslaw.com</w:t>
        </w:r>
      </w:hyperlink>
    </w:p>
    <w:p w14:paraId="68405991" w14:textId="77777777" w:rsidR="00B27C14" w:rsidRPr="008B3A8A" w:rsidRDefault="00B27C14" w:rsidP="00B27C14">
      <w:pPr>
        <w:suppressAutoHyphens/>
        <w:ind w:left="5040"/>
        <w:jc w:val="both"/>
        <w:rPr>
          <w:sz w:val="24"/>
          <w:szCs w:val="24"/>
          <w:lang w:val="es-US" w:eastAsia="x-none"/>
        </w:rPr>
      </w:pPr>
    </w:p>
    <w:p w14:paraId="393CD3A4" w14:textId="5F5B1EA7" w:rsidR="006A6D77" w:rsidRPr="00B27C14" w:rsidRDefault="006A6D77" w:rsidP="00B27C14"/>
    <w:sectPr w:rsidR="006A6D77" w:rsidRPr="00B27C14">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322A" w14:textId="77777777" w:rsidR="003341C9" w:rsidRDefault="003341C9" w:rsidP="001F3B28">
      <w:r>
        <w:separator/>
      </w:r>
    </w:p>
  </w:endnote>
  <w:endnote w:type="continuationSeparator" w:id="0">
    <w:p w14:paraId="740545B5" w14:textId="77777777" w:rsidR="003341C9" w:rsidRDefault="003341C9"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334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95BE" w14:textId="77777777" w:rsidR="003341C9" w:rsidRDefault="003341C9" w:rsidP="001F3B28">
      <w:r>
        <w:separator/>
      </w:r>
    </w:p>
  </w:footnote>
  <w:footnote w:type="continuationSeparator" w:id="0">
    <w:p w14:paraId="29B32D04" w14:textId="77777777" w:rsidR="003341C9" w:rsidRDefault="003341C9"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830AB"/>
    <w:multiLevelType w:val="hybridMultilevel"/>
    <w:tmpl w:val="46C2F522"/>
    <w:lvl w:ilvl="0" w:tplc="B7F47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2"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88569C"/>
    <w:multiLevelType w:val="hybridMultilevel"/>
    <w:tmpl w:val="D8282BF2"/>
    <w:lvl w:ilvl="0" w:tplc="130CF0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6"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2"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3"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6"/>
  </w:num>
  <w:num w:numId="4">
    <w:abstractNumId w:val="25"/>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39"/>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9"/>
  </w:num>
  <w:num w:numId="13">
    <w:abstractNumId w:val="13"/>
  </w:num>
  <w:num w:numId="14">
    <w:abstractNumId w:val="38"/>
  </w:num>
  <w:num w:numId="15">
    <w:abstractNumId w:val="4"/>
  </w:num>
  <w:num w:numId="16">
    <w:abstractNumId w:val="28"/>
  </w:num>
  <w:num w:numId="17">
    <w:abstractNumId w:val="34"/>
  </w:num>
  <w:num w:numId="18">
    <w:abstractNumId w:val="7"/>
  </w:num>
  <w:num w:numId="19">
    <w:abstractNumId w:val="5"/>
  </w:num>
  <w:num w:numId="20">
    <w:abstractNumId w:val="32"/>
  </w:num>
  <w:num w:numId="21">
    <w:abstractNumId w:val="33"/>
  </w:num>
  <w:num w:numId="22">
    <w:abstractNumId w:val="17"/>
  </w:num>
  <w:num w:numId="23">
    <w:abstractNumId w:val="22"/>
  </w:num>
  <w:num w:numId="24">
    <w:abstractNumId w:val="10"/>
  </w:num>
  <w:num w:numId="25">
    <w:abstractNumId w:val="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31"/>
  </w:num>
  <w:num w:numId="36">
    <w:abstractNumId w:val="18"/>
  </w:num>
  <w:num w:numId="37">
    <w:abstractNumId w:val="2"/>
  </w:num>
  <w:num w:numId="38">
    <w:abstractNumId w:val="8"/>
  </w:num>
  <w:num w:numId="39">
    <w:abstractNumId w:val="27"/>
  </w:num>
  <w:num w:numId="40">
    <w:abstractNumId w:val="30"/>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24"/>
  </w:num>
  <w:num w:numId="48">
    <w:abstractNumId w:val="9"/>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341C9"/>
    <w:rsid w:val="00343FAC"/>
    <w:rsid w:val="0037409B"/>
    <w:rsid w:val="003C122A"/>
    <w:rsid w:val="003D5FA0"/>
    <w:rsid w:val="003F6114"/>
    <w:rsid w:val="004133E9"/>
    <w:rsid w:val="00422939"/>
    <w:rsid w:val="004839DC"/>
    <w:rsid w:val="00484DB0"/>
    <w:rsid w:val="004A04BF"/>
    <w:rsid w:val="004B436D"/>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3454</Characters>
  <Application>Microsoft Office Word</Application>
  <DocSecurity>0</DocSecurity>
  <Lines>76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2022-02-20T02:18:00Z</dcterms:created>
  <dcterms:modified xsi:type="dcterms:W3CDTF">2022-02-20T02:18:00Z</dcterms:modified>
</cp:coreProperties>
</file>