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0599" w14:textId="77777777" w:rsidR="00506324" w:rsidRDefault="00506324" w:rsidP="00506324">
      <w:pPr>
        <w:ind w:left="1800" w:right="1800"/>
        <w:jc w:val="center"/>
        <w:textAlignment w:val="baseline"/>
        <w:rPr>
          <w:rFonts w:ascii="Segoe UI" w:hAnsi="Segoe UI" w:cs="Segoe UI"/>
          <w:sz w:val="18"/>
          <w:szCs w:val="18"/>
        </w:rPr>
      </w:pPr>
      <w:r w:rsidRPr="004E433C">
        <w:t>&lt;&lt;COURT_NAME&gt;&gt; </w:t>
      </w:r>
    </w:p>
    <w:p w14:paraId="64A09978" w14:textId="77777777" w:rsidR="00506324" w:rsidRPr="004E433C" w:rsidRDefault="00506324" w:rsidP="00506324">
      <w:pPr>
        <w:ind w:left="1800" w:right="1800"/>
        <w:jc w:val="cente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68"/>
        <w:gridCol w:w="3495"/>
      </w:tblGrid>
      <w:tr w:rsidR="00506324" w:rsidRPr="004E433C" w14:paraId="419D0F69" w14:textId="77777777" w:rsidTr="00B86712">
        <w:tc>
          <w:tcPr>
            <w:tcW w:w="5040" w:type="dxa"/>
            <w:tcBorders>
              <w:top w:val="nil"/>
              <w:left w:val="nil"/>
              <w:bottom w:val="nil"/>
              <w:right w:val="nil"/>
            </w:tcBorders>
            <w:shd w:val="clear" w:color="auto" w:fill="auto"/>
            <w:hideMark/>
          </w:tcPr>
          <w:p w14:paraId="002C771A" w14:textId="77777777" w:rsidR="00506324" w:rsidRPr="004E433C" w:rsidRDefault="00506324" w:rsidP="00B86712">
            <w:pPr>
              <w:textAlignment w:val="baseline"/>
            </w:pPr>
            <w:r w:rsidRPr="004E433C">
              <w:t>&lt;&lt;PROVIDER_SUITNAME&gt;&gt;,  </w:t>
            </w:r>
          </w:p>
          <w:p w14:paraId="44E1C024" w14:textId="77777777" w:rsidR="00506324" w:rsidRPr="004E433C" w:rsidRDefault="00506324" w:rsidP="00B86712">
            <w:pPr>
              <w:textAlignment w:val="baseline"/>
            </w:pPr>
            <w:r w:rsidRPr="004E433C">
              <w:t>a/a/</w:t>
            </w:r>
            <w:proofErr w:type="gramStart"/>
            <w:r w:rsidRPr="004E433C">
              <w:t>o  &lt;</w:t>
            </w:r>
            <w:proofErr w:type="gramEnd"/>
            <w:r w:rsidRPr="004E433C">
              <w:t>&lt;INJUREDPARTY_NAME&gt;&gt;                                             </w:t>
            </w:r>
          </w:p>
          <w:p w14:paraId="2394F88D" w14:textId="77777777" w:rsidR="00506324" w:rsidRPr="004E433C" w:rsidRDefault="00506324" w:rsidP="00B86712">
            <w:pPr>
              <w:textAlignment w:val="baseline"/>
            </w:pPr>
            <w:r w:rsidRPr="004E433C">
              <w:t>                                  </w:t>
            </w:r>
          </w:p>
          <w:p w14:paraId="2510086D" w14:textId="77777777" w:rsidR="00506324" w:rsidRPr="004E433C" w:rsidRDefault="00506324" w:rsidP="00B86712">
            <w:pPr>
              <w:ind w:firstLine="720"/>
              <w:textAlignment w:val="baseline"/>
            </w:pPr>
            <w:r w:rsidRPr="004E433C">
              <w:t>Plaintiff, </w:t>
            </w:r>
          </w:p>
          <w:p w14:paraId="731FF0D9" w14:textId="77777777" w:rsidR="00506324" w:rsidRPr="004E433C" w:rsidRDefault="00506324" w:rsidP="00B86712">
            <w:pPr>
              <w:textAlignment w:val="baseline"/>
            </w:pPr>
            <w:r w:rsidRPr="004E433C">
              <w:t> </w:t>
            </w:r>
          </w:p>
          <w:p w14:paraId="2B6797F7" w14:textId="77777777" w:rsidR="00506324" w:rsidRPr="004E433C" w:rsidRDefault="00506324" w:rsidP="00B86712">
            <w:pPr>
              <w:textAlignment w:val="baseline"/>
            </w:pPr>
            <w:r w:rsidRPr="004E433C">
              <w:t>vs. </w:t>
            </w:r>
          </w:p>
          <w:p w14:paraId="403D9E32" w14:textId="77777777" w:rsidR="00506324" w:rsidRPr="004E433C" w:rsidRDefault="00506324" w:rsidP="00B86712">
            <w:pPr>
              <w:textAlignment w:val="baseline"/>
            </w:pPr>
            <w:r w:rsidRPr="004E433C">
              <w:t> </w:t>
            </w:r>
          </w:p>
          <w:p w14:paraId="16EAB83D" w14:textId="77777777" w:rsidR="00506324" w:rsidRPr="004E433C" w:rsidRDefault="00506324" w:rsidP="00B86712">
            <w:pPr>
              <w:textAlignment w:val="baseline"/>
            </w:pPr>
            <w:r w:rsidRPr="004E433C">
              <w:t>&lt;&lt;INSURANCECOMPANY_SUITNAME&gt;&gt; </w:t>
            </w:r>
          </w:p>
          <w:p w14:paraId="45AAA7FE" w14:textId="77777777" w:rsidR="00506324" w:rsidRPr="004E433C" w:rsidRDefault="00506324" w:rsidP="00B86712">
            <w:pPr>
              <w:textAlignment w:val="baseline"/>
            </w:pPr>
            <w:r w:rsidRPr="004E433C">
              <w:t> </w:t>
            </w:r>
          </w:p>
          <w:p w14:paraId="3EFB9F14" w14:textId="77777777" w:rsidR="00506324" w:rsidRPr="004E433C" w:rsidRDefault="00506324" w:rsidP="00B86712">
            <w:pPr>
              <w:ind w:left="720" w:firstLine="720"/>
              <w:textAlignment w:val="baseline"/>
            </w:pPr>
            <w:r w:rsidRPr="004E433C">
              <w:t>Defendant. </w:t>
            </w:r>
          </w:p>
          <w:p w14:paraId="56129A01" w14:textId="77777777" w:rsidR="00506324" w:rsidRPr="004E433C" w:rsidRDefault="00506324" w:rsidP="00B86712">
            <w:pPr>
              <w:textAlignment w:val="baseline"/>
            </w:pPr>
            <w:r w:rsidRPr="004E433C">
              <w:t> </w:t>
            </w:r>
          </w:p>
        </w:tc>
        <w:tc>
          <w:tcPr>
            <w:tcW w:w="3495" w:type="dxa"/>
            <w:tcBorders>
              <w:top w:val="nil"/>
              <w:left w:val="nil"/>
              <w:bottom w:val="nil"/>
              <w:right w:val="nil"/>
            </w:tcBorders>
            <w:shd w:val="clear" w:color="auto" w:fill="auto"/>
            <w:hideMark/>
          </w:tcPr>
          <w:p w14:paraId="22AB0D1B" w14:textId="77777777" w:rsidR="00506324" w:rsidRPr="004E433C" w:rsidRDefault="00506324" w:rsidP="00B86712">
            <w:pPr>
              <w:textAlignment w:val="baseline"/>
            </w:pPr>
            <w:r w:rsidRPr="004E433C">
              <w:t>Case No. &lt;&lt;INDEXORAAA_NUMBER&gt;&gt; </w:t>
            </w:r>
            <w:r w:rsidRPr="004E433C">
              <w:br/>
              <w:t> </w:t>
            </w:r>
          </w:p>
          <w:p w14:paraId="17227823" w14:textId="77777777" w:rsidR="00506324" w:rsidRPr="004E433C" w:rsidRDefault="00506324" w:rsidP="00B86712">
            <w:pPr>
              <w:textAlignment w:val="baseline"/>
            </w:pPr>
            <w:r w:rsidRPr="004E433C">
              <w:t> </w:t>
            </w:r>
          </w:p>
          <w:p w14:paraId="20679A74" w14:textId="77777777" w:rsidR="00506324" w:rsidRPr="004E433C" w:rsidRDefault="00506324" w:rsidP="00B86712">
            <w:pPr>
              <w:textAlignment w:val="baseline"/>
            </w:pPr>
            <w:r w:rsidRPr="004E433C">
              <w:t> </w:t>
            </w:r>
          </w:p>
        </w:tc>
      </w:tr>
    </w:tbl>
    <w:p w14:paraId="4164FC9F" w14:textId="77777777" w:rsidR="00506324" w:rsidRPr="004E433C" w:rsidRDefault="00506324" w:rsidP="00506324">
      <w:pPr>
        <w:textAlignment w:val="baseline"/>
        <w:rPr>
          <w:rFonts w:ascii="Segoe UI" w:hAnsi="Segoe UI" w:cs="Segoe UI"/>
          <w:sz w:val="18"/>
          <w:szCs w:val="18"/>
        </w:rPr>
      </w:pPr>
      <w:r w:rsidRPr="004E433C">
        <w:t>__________________________________________/ </w:t>
      </w:r>
    </w:p>
    <w:p w14:paraId="5A3C328E" w14:textId="77777777" w:rsidR="00506324" w:rsidRDefault="00506324" w:rsidP="00506324">
      <w:pPr>
        <w:pStyle w:val="BodyText"/>
        <w:rPr>
          <w:b/>
          <w:szCs w:val="24"/>
          <w:u w:val="single"/>
        </w:rPr>
      </w:pPr>
    </w:p>
    <w:p w14:paraId="526C66C6" w14:textId="77777777" w:rsidR="00506324" w:rsidRPr="006D10A2" w:rsidRDefault="00506324" w:rsidP="00506324">
      <w:pPr>
        <w:keepNext/>
        <w:jc w:val="center"/>
        <w:rPr>
          <w:b/>
          <w:u w:val="single"/>
        </w:rPr>
      </w:pPr>
      <w:r w:rsidRPr="006D10A2">
        <w:rPr>
          <w:b/>
          <w:u w:val="single"/>
        </w:rPr>
        <w:t>MOTION TO DETERMINE WITNESS FEE</w:t>
      </w:r>
    </w:p>
    <w:p w14:paraId="23AF9711" w14:textId="77777777" w:rsidR="00506324" w:rsidRDefault="00506324" w:rsidP="00506324">
      <w:pPr>
        <w:keepNext/>
        <w:jc w:val="center"/>
        <w:rPr>
          <w:b/>
        </w:rPr>
      </w:pPr>
    </w:p>
    <w:p w14:paraId="2243388D" w14:textId="77777777" w:rsidR="00506324" w:rsidRDefault="00506324" w:rsidP="00506324">
      <w:pPr>
        <w:spacing w:line="480" w:lineRule="auto"/>
        <w:jc w:val="both"/>
      </w:pPr>
      <w:r>
        <w:rPr>
          <w:b/>
        </w:rPr>
        <w:t xml:space="preserve">            COMES NOW, </w:t>
      </w:r>
      <w:r>
        <w:t xml:space="preserve">Plaintiff, </w:t>
      </w:r>
      <w:r w:rsidRPr="004E433C">
        <w:t>&lt;&lt;PROVIDER_SUITNAME&gt;&gt;</w:t>
      </w:r>
      <w:r>
        <w:t xml:space="preserve"> a/a/o </w:t>
      </w:r>
      <w:r w:rsidRPr="004E433C">
        <w:t>&lt;&lt;INJUREDPARTY_NAME&gt;&gt;</w:t>
      </w:r>
      <w:r>
        <w:t>, by and through the undersigned counsel, pursuant to the Florida Rules of Civil Procedure, hereby files this Motion to Set Reasonable Expert Fee and Date for Deposition, and as grounds therefore, states:</w:t>
      </w:r>
    </w:p>
    <w:p w14:paraId="07DD36BE"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r>
        <w:rPr>
          <w:color w:val="000000"/>
        </w:rPr>
        <w:t>Defendant has designated [EXPERT NAME], as an expert in this matter.</w:t>
      </w:r>
    </w:p>
    <w:p w14:paraId="4C89CF5E"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r>
        <w:rPr>
          <w:color w:val="000000"/>
        </w:rPr>
        <w:t>Defendant has informed Plaintiff that [EXPERT NAME] is not available for deposition until [ENTER DATE].</w:t>
      </w:r>
    </w:p>
    <w:p w14:paraId="5DE539C4"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r>
        <w:rPr>
          <w:color w:val="000000"/>
        </w:rPr>
        <w:t>Defendant has informed Plaintiff that [EXPERT NAME] charges [ENTER AMOUNT] per hour for deposition.</w:t>
      </w:r>
    </w:p>
    <w:p w14:paraId="3DE5EE44"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r>
        <w:rPr>
          <w:color w:val="000000"/>
        </w:rPr>
        <w:t>Florida Rule of Civil Procedure 1.390(c) permits the Court to determine a reasonable amount for an expert witness' deposition fee. It provides, in pertinent part:</w:t>
      </w:r>
    </w:p>
    <w:p w14:paraId="38F28D48" w14:textId="77777777" w:rsidR="00506324" w:rsidRDefault="00506324" w:rsidP="00506324">
      <w:pPr>
        <w:pBdr>
          <w:top w:val="nil"/>
          <w:left w:val="nil"/>
          <w:bottom w:val="nil"/>
          <w:right w:val="nil"/>
          <w:between w:val="nil"/>
        </w:pBdr>
        <w:ind w:left="960"/>
        <w:jc w:val="both"/>
        <w:rPr>
          <w:color w:val="000000"/>
        </w:rPr>
      </w:pPr>
      <w:r>
        <w:rPr>
          <w:color w:val="000000"/>
        </w:rPr>
        <w:t>“An expert or skilled witness whose deposition is taken shall be allowed a witness fee in such reasonable amount as the court may determine...All parties and the deponent shall be served with notice of any hearing to determine the fee.”</w:t>
      </w:r>
    </w:p>
    <w:p w14:paraId="4C22D02F" w14:textId="77777777" w:rsidR="00506324" w:rsidRDefault="00506324" w:rsidP="00506324">
      <w:pPr>
        <w:pBdr>
          <w:top w:val="nil"/>
          <w:left w:val="nil"/>
          <w:bottom w:val="nil"/>
          <w:right w:val="nil"/>
          <w:between w:val="nil"/>
        </w:pBdr>
        <w:ind w:left="960"/>
        <w:jc w:val="both"/>
        <w:rPr>
          <w:color w:val="000000"/>
        </w:rPr>
      </w:pPr>
    </w:p>
    <w:p w14:paraId="6E996A6C"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r>
        <w:rPr>
          <w:color w:val="000000"/>
        </w:rPr>
        <w:t>The deposition fee set by Defendant’s expert, [EXPERT NAME], is exorbitant and should be reduced to a reasonable amount.</w:t>
      </w:r>
    </w:p>
    <w:p w14:paraId="0E9498CA"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bookmarkStart w:id="0" w:name="_heading=h.gjdgxs" w:colFirst="0" w:colLast="0"/>
      <w:bookmarkEnd w:id="0"/>
      <w:r>
        <w:rPr>
          <w:color w:val="000000"/>
        </w:rPr>
        <w:t>This Court has authority pursuant to Rules 1.280(c) and 1.390 (c), Fla. R. Civ. P., to determine what would be a reasonable witness fee.  As noted by the Fourth District Court of Appeal:</w:t>
      </w:r>
    </w:p>
    <w:p w14:paraId="75B6320E" w14:textId="77777777" w:rsidR="00506324" w:rsidRDefault="00506324" w:rsidP="00506324">
      <w:pPr>
        <w:pBdr>
          <w:top w:val="nil"/>
          <w:left w:val="nil"/>
          <w:bottom w:val="nil"/>
          <w:right w:val="nil"/>
          <w:between w:val="nil"/>
        </w:pBdr>
        <w:ind w:left="720"/>
        <w:jc w:val="both"/>
        <w:rPr>
          <w:color w:val="000000"/>
        </w:rPr>
      </w:pPr>
      <w:r>
        <w:rPr>
          <w:color w:val="000000"/>
        </w:rPr>
        <w:t xml:space="preserve">We are </w:t>
      </w:r>
      <w:proofErr w:type="gramStart"/>
      <w:r>
        <w:rPr>
          <w:color w:val="000000"/>
        </w:rPr>
        <w:t>well aware</w:t>
      </w:r>
      <w:proofErr w:type="gramEnd"/>
      <w:r>
        <w:rPr>
          <w:color w:val="000000"/>
        </w:rPr>
        <w:t xml:space="preserve"> of the escalating costs of litigation and that trial counsel often is caught in the dilemma of either paying the large fee demanded by an expert or proceeding to trial without the benefit of the expert's testimony. Nevertheless, attorney's as well as the court have an obligation to keep the costs of litigation within reasonable bounds. </w:t>
      </w:r>
      <w:r>
        <w:rPr>
          <w:color w:val="000000"/>
          <w:u w:val="single"/>
        </w:rPr>
        <w:t>Loftin v. Anderson</w:t>
      </w:r>
      <w:r>
        <w:rPr>
          <w:color w:val="000000"/>
        </w:rPr>
        <w:t xml:space="preserve">, 66 So.2d 470 (Fla. 1953). It follows that while the trial court has </w:t>
      </w:r>
      <w:r>
        <w:rPr>
          <w:color w:val="000000"/>
        </w:rPr>
        <w:lastRenderedPageBreak/>
        <w:t xml:space="preserve">broad discretion in the taxing costs, the exercise of this discretion should be compatible with the goal of keeping costs within reasonable bounds. </w:t>
      </w:r>
      <w:r>
        <w:rPr>
          <w:color w:val="000000"/>
          <w:u w:val="single"/>
        </w:rPr>
        <w:t>Crane v. Stultz</w:t>
      </w:r>
      <w:r>
        <w:rPr>
          <w:color w:val="000000"/>
        </w:rPr>
        <w:t>, 136 So.2d 253 (Fla. 4th DCA 1978).</w:t>
      </w:r>
    </w:p>
    <w:p w14:paraId="69AB3786" w14:textId="77777777" w:rsidR="00506324" w:rsidRDefault="00506324" w:rsidP="00506324">
      <w:pPr>
        <w:pBdr>
          <w:top w:val="nil"/>
          <w:left w:val="nil"/>
          <w:bottom w:val="nil"/>
          <w:right w:val="nil"/>
          <w:between w:val="nil"/>
        </w:pBdr>
        <w:ind w:left="720"/>
        <w:jc w:val="both"/>
        <w:rPr>
          <w:color w:val="000000"/>
        </w:rPr>
      </w:pPr>
    </w:p>
    <w:p w14:paraId="687DF402" w14:textId="77777777" w:rsidR="00506324" w:rsidRDefault="00506324" w:rsidP="00506324">
      <w:pPr>
        <w:numPr>
          <w:ilvl w:val="0"/>
          <w:numId w:val="50"/>
        </w:numPr>
        <w:pBdr>
          <w:top w:val="nil"/>
          <w:left w:val="nil"/>
          <w:bottom w:val="nil"/>
          <w:right w:val="nil"/>
          <w:between w:val="nil"/>
        </w:pBdr>
        <w:spacing w:line="480" w:lineRule="auto"/>
        <w:ind w:left="0" w:firstLine="720"/>
        <w:jc w:val="both"/>
        <w:rPr>
          <w:color w:val="212121"/>
        </w:rPr>
      </w:pPr>
      <w:r>
        <w:rPr>
          <w:color w:val="212121"/>
        </w:rPr>
        <w:t>The Florida rule requiring a discovering party to pay an </w:t>
      </w:r>
      <w:r>
        <w:rPr>
          <w:color w:val="252525"/>
        </w:rPr>
        <w:t>expert</w:t>
      </w:r>
      <w:r>
        <w:rPr>
          <w:color w:val="212121"/>
        </w:rPr>
        <w:t> witness their </w:t>
      </w:r>
      <w:r>
        <w:rPr>
          <w:color w:val="252525"/>
        </w:rPr>
        <w:t>fee</w:t>
      </w:r>
      <w:r>
        <w:rPr>
          <w:color w:val="212121"/>
        </w:rPr>
        <w:t> is modeled after the federal rule. </w:t>
      </w:r>
      <w:r>
        <w:rPr>
          <w:i/>
          <w:color w:val="212121"/>
        </w:rPr>
        <w:t>Compare</w:t>
      </w:r>
      <w:r>
        <w:rPr>
          <w:color w:val="212121"/>
        </w:rPr>
        <w:t> </w:t>
      </w:r>
      <w:hyperlink r:id="rId7">
        <w:r>
          <w:rPr>
            <w:color w:val="145DA4"/>
            <w:u w:val="single"/>
          </w:rPr>
          <w:t>Fla. R. Civ. P. 1.280(b)(5)(C)</w:t>
        </w:r>
      </w:hyperlink>
      <w:hyperlink r:id="rId8" w:anchor="co_tablefootnoteblock_1">
        <w:r>
          <w:rPr>
            <w:color w:val="4778C2"/>
            <w:u w:val="single"/>
            <w:vertAlign w:val="superscript"/>
          </w:rPr>
          <w:t>1</w:t>
        </w:r>
      </w:hyperlink>
      <w:r>
        <w:rPr>
          <w:color w:val="212121"/>
        </w:rPr>
        <w:t> </w:t>
      </w:r>
      <w:r>
        <w:rPr>
          <w:i/>
          <w:color w:val="212121"/>
        </w:rPr>
        <w:t>with</w:t>
      </w:r>
      <w:r>
        <w:rPr>
          <w:color w:val="212121"/>
        </w:rPr>
        <w:t> </w:t>
      </w:r>
      <w:hyperlink r:id="rId9" w:anchor="co_pp_f4ef000095e57">
        <w:r>
          <w:rPr>
            <w:color w:val="145DA4"/>
            <w:u w:val="single"/>
          </w:rPr>
          <w:t>Fed. R. Civ. P. 26(b)(4)(E)(</w:t>
        </w:r>
        <w:proofErr w:type="spellStart"/>
        <w:r>
          <w:rPr>
            <w:color w:val="145DA4"/>
            <w:u w:val="single"/>
          </w:rPr>
          <w:t>i</w:t>
        </w:r>
        <w:proofErr w:type="spellEnd"/>
        <w:r>
          <w:rPr>
            <w:color w:val="145DA4"/>
            <w:u w:val="single"/>
          </w:rPr>
          <w:t>)</w:t>
        </w:r>
      </w:hyperlink>
      <w:hyperlink r:id="rId10" w:anchor="co_tablefootnoteblock_2">
        <w:r>
          <w:rPr>
            <w:color w:val="4778C2"/>
            <w:u w:val="single"/>
            <w:vertAlign w:val="superscript"/>
          </w:rPr>
          <w:t>2</w:t>
        </w:r>
      </w:hyperlink>
      <w:r>
        <w:rPr>
          <w:color w:val="212121"/>
        </w:rPr>
        <w:t>. Because these rules are nearly verbatim identical, the Court may consider federal cases interpreting the federal rule. </w:t>
      </w:r>
      <w:hyperlink r:id="rId11" w:anchor="co_pp_sp_735_698">
        <w:r>
          <w:rPr>
            <w:i/>
            <w:color w:val="145DA4"/>
          </w:rPr>
          <w:t>Smith v. Fla. Power and Light,</w:t>
        </w:r>
      </w:hyperlink>
      <w:hyperlink r:id="rId12" w:anchor="co_pp_sp_735_698">
        <w:r>
          <w:rPr>
            <w:color w:val="145DA4"/>
            <w:u w:val="single"/>
          </w:rPr>
          <w:t> 632 So. 2d 696, 698 n.3 (Fla. 3d DCA 1994)</w:t>
        </w:r>
      </w:hyperlink>
      <w:r>
        <w:rPr>
          <w:color w:val="212121"/>
        </w:rPr>
        <w:t> (where the Florida rule of civil procedure resembles the federal rule, “district courts of appeal may look to federal case law for guidance”).</w:t>
      </w:r>
    </w:p>
    <w:p w14:paraId="4306D2E2"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It is Defendant's burden to prove that the requested fee is reasonable. </w:t>
      </w:r>
      <w:proofErr w:type="spellStart"/>
      <w:r>
        <w:fldChar w:fldCharType="begin"/>
      </w:r>
      <w:r>
        <w:instrText xml:space="preserve"> HYPERLINK "https://1.next.westlaw.com/Link/Document/FullText?findType=Y&amp;serNum=2003762740&amp;pubNum=0000344&amp;originatingDoc=I671c5250068011e88338c2a2b93e47e8&amp;refType=RP&amp;fi=co_pp_sp_344_374&amp;originationContext=document&amp;transitionType=DocumentItem&amp;contextData=(sc.Search)" \l "co_pp_sp_344_374" \h </w:instrText>
      </w:r>
      <w:r>
        <w:fldChar w:fldCharType="separate"/>
      </w:r>
      <w:r>
        <w:rPr>
          <w:i/>
          <w:color w:val="145DA4"/>
        </w:rPr>
        <w:t>Mannarino</w:t>
      </w:r>
      <w:proofErr w:type="spellEnd"/>
      <w:r>
        <w:rPr>
          <w:i/>
          <w:color w:val="145DA4"/>
        </w:rPr>
        <w:t xml:space="preserve"> v. U.S.,</w:t>
      </w:r>
      <w:r>
        <w:rPr>
          <w:i/>
          <w:color w:val="145DA4"/>
        </w:rPr>
        <w:fldChar w:fldCharType="end"/>
      </w:r>
      <w:hyperlink r:id="rId13" w:anchor="co_pp_sp_344_374">
        <w:r>
          <w:rPr>
            <w:color w:val="145DA4"/>
            <w:u w:val="single"/>
          </w:rPr>
          <w:t> 218 F.R.D. 372, 374 (E.D.N.Y. 2003)</w:t>
        </w:r>
      </w:hyperlink>
      <w:r>
        <w:rPr>
          <w:color w:val="212121"/>
        </w:rPr>
        <w:t xml:space="preserve"> (“[t]he party seeking reimbursement of deposition fees bears the burden of proving reasonableness”). </w:t>
      </w:r>
      <w:proofErr w:type="gramStart"/>
      <w:r>
        <w:rPr>
          <w:color w:val="212121"/>
        </w:rPr>
        <w:t>In order to</w:t>
      </w:r>
      <w:proofErr w:type="gramEnd"/>
      <w:r>
        <w:rPr>
          <w:color w:val="212121"/>
        </w:rPr>
        <w:t> </w:t>
      </w:r>
      <w:r>
        <w:rPr>
          <w:color w:val="252525"/>
        </w:rPr>
        <w:t>determine</w:t>
      </w:r>
      <w:r>
        <w:rPr>
          <w:color w:val="212121"/>
        </w:rPr>
        <w:t> whether a party has met its burden of proving reasonableness of the fee, Federal cases have identified seven factors which a court may consider. These factors are:</w:t>
      </w:r>
    </w:p>
    <w:sdt>
      <w:sdtPr>
        <w:tag w:val="goog_rdk_1"/>
        <w:id w:val="-82225407"/>
      </w:sdtPr>
      <w:sdtContent>
        <w:p w14:paraId="77D4FFFD"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1. the witness's area of expertise;</w:t>
          </w:r>
        </w:p>
      </w:sdtContent>
    </w:sdt>
    <w:p w14:paraId="416D8F96"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2. the education and training that are required to provide the </w:t>
      </w:r>
      <w:r>
        <w:rPr>
          <w:color w:val="252525"/>
        </w:rPr>
        <w:t>expert</w:t>
      </w:r>
      <w:r>
        <w:rPr>
          <w:color w:val="212121"/>
        </w:rPr>
        <w:t xml:space="preserve"> insight that is </w:t>
      </w:r>
      <w:proofErr w:type="gramStart"/>
      <w:r>
        <w:rPr>
          <w:color w:val="212121"/>
        </w:rPr>
        <w:t>sought;</w:t>
      </w:r>
      <w:proofErr w:type="gramEnd"/>
    </w:p>
    <w:p w14:paraId="232A3EF1"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3. the prevailing rates for other comparably respected available </w:t>
      </w:r>
      <w:proofErr w:type="gramStart"/>
      <w:r>
        <w:rPr>
          <w:color w:val="252525"/>
        </w:rPr>
        <w:t>experts</w:t>
      </w:r>
      <w:r>
        <w:rPr>
          <w:color w:val="212121"/>
        </w:rPr>
        <w:t>;</w:t>
      </w:r>
      <w:proofErr w:type="gramEnd"/>
    </w:p>
    <w:p w14:paraId="26BD680A"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 xml:space="preserve">4. the nature, quality, and complexity of the discovery responses </w:t>
      </w:r>
      <w:proofErr w:type="gramStart"/>
      <w:r>
        <w:rPr>
          <w:color w:val="212121"/>
        </w:rPr>
        <w:t>provided;</w:t>
      </w:r>
      <w:proofErr w:type="gramEnd"/>
    </w:p>
    <w:p w14:paraId="4B4CFBDC"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 xml:space="preserve">5. the cost of living in the particular geographic </w:t>
      </w:r>
      <w:proofErr w:type="gramStart"/>
      <w:r>
        <w:rPr>
          <w:color w:val="212121"/>
        </w:rPr>
        <w:t>area;</w:t>
      </w:r>
      <w:proofErr w:type="gramEnd"/>
    </w:p>
    <w:p w14:paraId="6366F18C"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 xml:space="preserve">6. the fee </w:t>
      </w:r>
      <w:proofErr w:type="gramStart"/>
      <w:r>
        <w:rPr>
          <w:color w:val="212121"/>
        </w:rPr>
        <w:t>actually being</w:t>
      </w:r>
      <w:proofErr w:type="gramEnd"/>
      <w:r>
        <w:rPr>
          <w:color w:val="212121"/>
        </w:rPr>
        <w:t xml:space="preserve"> charged by the </w:t>
      </w:r>
      <w:r>
        <w:rPr>
          <w:color w:val="252525"/>
        </w:rPr>
        <w:t>expert</w:t>
      </w:r>
      <w:r>
        <w:rPr>
          <w:color w:val="212121"/>
        </w:rPr>
        <w:t> to the party who retained him; and</w:t>
      </w:r>
    </w:p>
    <w:p w14:paraId="7F4D84C3"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7. fees traditionally charged by the </w:t>
      </w:r>
      <w:r>
        <w:rPr>
          <w:color w:val="252525"/>
        </w:rPr>
        <w:t>expert</w:t>
      </w:r>
      <w:r>
        <w:rPr>
          <w:color w:val="212121"/>
        </w:rPr>
        <w:t> on related matters.</w:t>
      </w:r>
    </w:p>
    <w:p w14:paraId="5BEB252C" w14:textId="77777777" w:rsidR="00506324" w:rsidRDefault="00506324" w:rsidP="00506324">
      <w:pPr>
        <w:pBdr>
          <w:top w:val="nil"/>
          <w:left w:val="nil"/>
          <w:bottom w:val="nil"/>
          <w:right w:val="nil"/>
          <w:between w:val="nil"/>
        </w:pBdr>
        <w:spacing w:line="480" w:lineRule="auto"/>
        <w:ind w:firstLine="720"/>
        <w:jc w:val="both"/>
        <w:rPr>
          <w:color w:val="212121"/>
        </w:rPr>
      </w:pPr>
      <w:r>
        <w:rPr>
          <w:i/>
          <w:color w:val="212121"/>
        </w:rPr>
        <w:t>E.g., </w:t>
      </w:r>
      <w:proofErr w:type="spellStart"/>
      <w:r>
        <w:rPr>
          <w:i/>
          <w:color w:val="212121"/>
        </w:rPr>
        <w:t>Mannarino</w:t>
      </w:r>
      <w:proofErr w:type="spellEnd"/>
      <w:r>
        <w:rPr>
          <w:color w:val="212121"/>
        </w:rPr>
        <w:t> at 374 (formatted for clarity).</w:t>
      </w:r>
    </w:p>
    <w:p w14:paraId="66FDFE65" w14:textId="77777777" w:rsidR="00506324" w:rsidRDefault="00506324" w:rsidP="00506324">
      <w:pPr>
        <w:pBdr>
          <w:top w:val="nil"/>
          <w:left w:val="nil"/>
          <w:bottom w:val="nil"/>
          <w:right w:val="nil"/>
          <w:between w:val="nil"/>
        </w:pBdr>
        <w:spacing w:line="480" w:lineRule="auto"/>
        <w:ind w:firstLine="720"/>
        <w:jc w:val="both"/>
        <w:rPr>
          <w:color w:val="212121"/>
        </w:rPr>
      </w:pPr>
      <w:r>
        <w:rPr>
          <w:color w:val="212121"/>
        </w:rPr>
        <w:t>When the seven factors identified in </w:t>
      </w:r>
      <w:proofErr w:type="spellStart"/>
      <w:r>
        <w:rPr>
          <w:i/>
          <w:color w:val="212121"/>
        </w:rPr>
        <w:t>Mannarino</w:t>
      </w:r>
      <w:proofErr w:type="spellEnd"/>
      <w:r>
        <w:rPr>
          <w:color w:val="212121"/>
        </w:rPr>
        <w:t> are applied to the facts now before the Court (</w:t>
      </w:r>
      <w:proofErr w:type="gramStart"/>
      <w:r>
        <w:rPr>
          <w:color w:val="212121"/>
        </w:rPr>
        <w:t>i.e.</w:t>
      </w:r>
      <w:proofErr w:type="gramEnd"/>
      <w:r>
        <w:rPr>
          <w:color w:val="212121"/>
        </w:rPr>
        <w:t xml:space="preserve"> before the deposition of </w:t>
      </w:r>
      <w:r>
        <w:rPr>
          <w:color w:val="000000"/>
        </w:rPr>
        <w:t>[EXPERT NAME]</w:t>
      </w:r>
      <w:r>
        <w:rPr>
          <w:color w:val="212121"/>
        </w:rPr>
        <w:t>), [his/her] fee is simply not reasonable.</w:t>
      </w:r>
    </w:p>
    <w:p w14:paraId="39155ABC" w14:textId="77777777" w:rsidR="00506324" w:rsidRDefault="00506324" w:rsidP="00506324">
      <w:pPr>
        <w:numPr>
          <w:ilvl w:val="0"/>
          <w:numId w:val="50"/>
        </w:numPr>
        <w:pBdr>
          <w:top w:val="nil"/>
          <w:left w:val="nil"/>
          <w:bottom w:val="nil"/>
          <w:right w:val="nil"/>
          <w:between w:val="nil"/>
        </w:pBdr>
        <w:spacing w:line="480" w:lineRule="auto"/>
        <w:ind w:left="0" w:firstLine="720"/>
        <w:jc w:val="both"/>
      </w:pPr>
      <w:r>
        <w:rPr>
          <w:color w:val="000000"/>
        </w:rPr>
        <w:t>Plaintiff further contends that [EXPERT NAME] should sit for deposition within the next 60 days.</w:t>
      </w:r>
    </w:p>
    <w:p w14:paraId="0346A34F" w14:textId="77777777" w:rsidR="00506324" w:rsidRDefault="00506324" w:rsidP="00506324">
      <w:pPr>
        <w:spacing w:line="480" w:lineRule="auto"/>
        <w:ind w:left="360" w:firstLine="360"/>
        <w:jc w:val="both"/>
      </w:pPr>
      <w:r>
        <w:rPr>
          <w:b/>
        </w:rPr>
        <w:t>WHEREFORE</w:t>
      </w:r>
      <w:r>
        <w:t xml:space="preserve">, for the foregoing reasons, Plaintiff, </w:t>
      </w:r>
      <w:r w:rsidRPr="004E433C">
        <w:t>&lt;&lt;PROVIDER_SUITNAME&gt;&gt;</w:t>
      </w:r>
      <w:r>
        <w:t xml:space="preserve"> a/a/o</w:t>
      </w:r>
      <w:r w:rsidRPr="004E433C">
        <w:t xml:space="preserve"> &lt;&lt;INJUREDPARTY_NAME&gt;&gt;</w:t>
      </w:r>
      <w:r>
        <w:t>, respectfully request this Honorable Court grant this motion in its entirety.</w:t>
      </w:r>
    </w:p>
    <w:p w14:paraId="47F3CC57" w14:textId="77777777" w:rsidR="00506324" w:rsidRPr="001A2787" w:rsidRDefault="00506324" w:rsidP="00506324">
      <w:pPr>
        <w:pStyle w:val="BodyText"/>
        <w:jc w:val="center"/>
        <w:rPr>
          <w:b/>
          <w:szCs w:val="24"/>
          <w:u w:val="single"/>
        </w:rPr>
      </w:pPr>
      <w:r w:rsidRPr="001A2787">
        <w:rPr>
          <w:b/>
          <w:szCs w:val="24"/>
          <w:u w:val="single"/>
        </w:rPr>
        <w:t>CERTIFICATE OF SERVICE</w:t>
      </w:r>
    </w:p>
    <w:p w14:paraId="6EF2F9C0" w14:textId="77777777" w:rsidR="00506324" w:rsidRDefault="00506324" w:rsidP="00506324">
      <w:pPr>
        <w:pStyle w:val="SingleSpacing"/>
        <w:keepNext/>
        <w:spacing w:line="480" w:lineRule="auto"/>
        <w:ind w:firstLine="720"/>
        <w:jc w:val="both"/>
        <w:rPr>
          <w:sz w:val="24"/>
          <w:szCs w:val="24"/>
        </w:rPr>
      </w:pPr>
    </w:p>
    <w:p w14:paraId="7A642AEA" w14:textId="77777777" w:rsidR="00506324" w:rsidRPr="001A2787" w:rsidRDefault="00506324" w:rsidP="00506324">
      <w:pPr>
        <w:pStyle w:val="SingleSpacing"/>
        <w:keepNext/>
        <w:spacing w:line="480" w:lineRule="auto"/>
        <w:ind w:firstLine="720"/>
        <w:jc w:val="both"/>
        <w:rPr>
          <w:sz w:val="24"/>
          <w:szCs w:val="24"/>
        </w:rPr>
      </w:pPr>
      <w:r w:rsidRPr="004E60B5">
        <w:rPr>
          <w:sz w:val="24"/>
          <w:szCs w:val="24"/>
        </w:rPr>
        <w:t xml:space="preserve">I HEREBY CERTIFY that on </w:t>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fldChar w:fldCharType="begin"/>
      </w:r>
      <w:r w:rsidRPr="004E60B5">
        <w:rPr>
          <w:sz w:val="24"/>
          <w:szCs w:val="24"/>
        </w:rPr>
        <w:instrText xml:space="preserve"> DATE \@ "MMMM d, yyyy" </w:instrText>
      </w:r>
      <w:r w:rsidRPr="004E60B5">
        <w:rPr>
          <w:sz w:val="24"/>
          <w:szCs w:val="24"/>
        </w:rPr>
        <w:fldChar w:fldCharType="separate"/>
      </w:r>
      <w:r>
        <w:rPr>
          <w:noProof/>
          <w:sz w:val="24"/>
          <w:szCs w:val="24"/>
        </w:rPr>
        <w:t>February 19, 2022</w:t>
      </w:r>
      <w:r w:rsidRPr="004E60B5">
        <w:rPr>
          <w:sz w:val="24"/>
          <w:szCs w:val="24"/>
        </w:rPr>
        <w:fldChar w:fldCharType="end"/>
      </w:r>
      <w:r w:rsidRPr="004E60B5">
        <w:rPr>
          <w:sz w:val="24"/>
          <w:szCs w:val="24"/>
        </w:rPr>
        <w:t xml:space="preserve">, a true and correct copy of the foregoing was filed and served on the </w:t>
      </w:r>
      <w:proofErr w:type="spellStart"/>
      <w:r w:rsidRPr="004E60B5">
        <w:rPr>
          <w:sz w:val="24"/>
          <w:szCs w:val="24"/>
        </w:rPr>
        <w:t>Defendat</w:t>
      </w:r>
      <w:proofErr w:type="spellEnd"/>
      <w:r w:rsidRPr="004E60B5">
        <w:rPr>
          <w:sz w:val="24"/>
          <w:szCs w:val="24"/>
        </w:rPr>
        <w:t xml:space="preserve"> through the Florida E-File Portal.</w:t>
      </w:r>
      <w:r w:rsidRPr="001A2787">
        <w:rPr>
          <w:sz w:val="24"/>
          <w:szCs w:val="24"/>
        </w:rPr>
        <w:t xml:space="preserve"> </w:t>
      </w:r>
    </w:p>
    <w:p w14:paraId="6FCF500F" w14:textId="77777777" w:rsidR="00506324" w:rsidRPr="00BA36C6" w:rsidRDefault="00506324" w:rsidP="00506324">
      <w:pPr>
        <w:suppressAutoHyphens/>
        <w:ind w:left="3600" w:firstLine="720"/>
        <w:jc w:val="both"/>
        <w:rPr>
          <w:lang w:eastAsia="x-none"/>
        </w:rPr>
      </w:pPr>
      <w:r w:rsidRPr="00BA36C6">
        <w:rPr>
          <w:b/>
          <w:bCs/>
          <w:lang w:eastAsia="x-none"/>
        </w:rPr>
        <w:t>Florida Insurance Law Group</w:t>
      </w:r>
      <w:r w:rsidRPr="00BA36C6">
        <w:rPr>
          <w:b/>
          <w:bCs/>
          <w:lang w:val="x-none" w:eastAsia="x-none"/>
        </w:rPr>
        <w:t xml:space="preserve">, </w:t>
      </w:r>
      <w:r w:rsidRPr="00BA36C6">
        <w:rPr>
          <w:b/>
          <w:bCs/>
          <w:lang w:eastAsia="x-none"/>
        </w:rPr>
        <w:t>LLC</w:t>
      </w:r>
    </w:p>
    <w:p w14:paraId="7F3F55CB" w14:textId="77777777" w:rsidR="00506324" w:rsidRPr="00BA36C6" w:rsidRDefault="00506324" w:rsidP="00506324">
      <w:pPr>
        <w:suppressAutoHyphens/>
        <w:ind w:left="3600" w:firstLine="720"/>
        <w:jc w:val="both"/>
        <w:rPr>
          <w:lang w:eastAsia="x-none"/>
        </w:rPr>
      </w:pPr>
      <w:r w:rsidRPr="00BA36C6">
        <w:rPr>
          <w:lang w:eastAsia="x-none"/>
        </w:rPr>
        <w:t>8724 Sunset Drive, #260, Miami, FL 33173</w:t>
      </w:r>
    </w:p>
    <w:p w14:paraId="3BCB40D0" w14:textId="77777777" w:rsidR="00506324" w:rsidRPr="00BA36C6" w:rsidRDefault="00506324" w:rsidP="00506324">
      <w:pPr>
        <w:suppressAutoHyphens/>
        <w:ind w:left="3600" w:firstLine="720"/>
        <w:jc w:val="both"/>
        <w:rPr>
          <w:lang w:eastAsia="x-none"/>
        </w:rPr>
      </w:pPr>
      <w:r w:rsidRPr="00BA36C6">
        <w:rPr>
          <w:lang w:eastAsia="x-none"/>
        </w:rPr>
        <w:t>Tel. (305) 906-4262</w:t>
      </w:r>
    </w:p>
    <w:p w14:paraId="7F822CF9" w14:textId="77777777" w:rsidR="00506324" w:rsidRPr="00BA36C6" w:rsidRDefault="00506324" w:rsidP="00506324">
      <w:pPr>
        <w:ind w:left="2880"/>
        <w:contextualSpacing/>
      </w:pPr>
      <w:r w:rsidRPr="00BA36C6">
        <w:rPr>
          <w:rFonts w:eastAsia="Calibri"/>
          <w:noProof/>
        </w:rPr>
        <w:drawing>
          <wp:inline distT="0" distB="0" distL="0" distR="0" wp14:anchorId="3B2926A5" wp14:editId="34BC65AD">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40043C40" w14:textId="77777777" w:rsidR="00506324" w:rsidRPr="00522EBE" w:rsidRDefault="00506324" w:rsidP="00506324">
      <w:pPr>
        <w:ind w:left="3600" w:firstLine="720"/>
        <w:contextualSpacing/>
        <w:rPr>
          <w:lang w:val="es-PE"/>
        </w:rPr>
      </w:pPr>
      <w:r w:rsidRPr="00522EBE">
        <w:rPr>
          <w:lang w:val="es-PE"/>
        </w:rPr>
        <w:t>Leo Manon III, Esq.</w:t>
      </w:r>
    </w:p>
    <w:p w14:paraId="7D883D63" w14:textId="77777777" w:rsidR="00506324" w:rsidRPr="00BA36C6" w:rsidRDefault="00506324" w:rsidP="00506324">
      <w:pPr>
        <w:suppressAutoHyphens/>
        <w:ind w:left="3600" w:firstLine="720"/>
        <w:jc w:val="both"/>
        <w:rPr>
          <w:lang w:val="es-US" w:eastAsia="x-none"/>
        </w:rPr>
      </w:pPr>
      <w:r w:rsidRPr="00BA36C6">
        <w:rPr>
          <w:lang w:val="es-US" w:eastAsia="x-none"/>
        </w:rPr>
        <w:t>Fla. Bar No. 115757</w:t>
      </w:r>
    </w:p>
    <w:p w14:paraId="6EA7EC82" w14:textId="77777777" w:rsidR="00506324" w:rsidRPr="00BA36C6" w:rsidRDefault="00506324" w:rsidP="00506324">
      <w:pPr>
        <w:suppressAutoHyphens/>
        <w:ind w:left="3600" w:firstLine="720"/>
        <w:jc w:val="both"/>
        <w:rPr>
          <w:color w:val="0563C1"/>
          <w:u w:val="single"/>
          <w:lang w:val="es-US"/>
        </w:rPr>
      </w:pPr>
      <w:hyperlink r:id="rId15" w:history="1">
        <w:r w:rsidRPr="00BA36C6">
          <w:rPr>
            <w:rStyle w:val="Hyperlink"/>
            <w:lang w:val="es-US"/>
          </w:rPr>
          <w:t>Pleadings@flinslaw.com</w:t>
        </w:r>
      </w:hyperlink>
    </w:p>
    <w:p w14:paraId="393CD3A4" w14:textId="5F5B1EA7" w:rsidR="006A6D77" w:rsidRPr="00506324" w:rsidRDefault="006A6D77" w:rsidP="00506324"/>
    <w:sectPr w:rsidR="006A6D77" w:rsidRPr="00506324">
      <w:footerReference w:type="default" r:id="rId16"/>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881D1" w14:textId="77777777" w:rsidR="00474A85" w:rsidRDefault="00474A85" w:rsidP="001F3B28">
      <w:r>
        <w:separator/>
      </w:r>
    </w:p>
  </w:endnote>
  <w:endnote w:type="continuationSeparator" w:id="0">
    <w:p w14:paraId="1DFB3B05" w14:textId="77777777" w:rsidR="00474A85" w:rsidRDefault="00474A85"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474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E2C2" w14:textId="77777777" w:rsidR="00474A85" w:rsidRDefault="00474A85" w:rsidP="001F3B28">
      <w:r>
        <w:separator/>
      </w:r>
    </w:p>
  </w:footnote>
  <w:footnote w:type="continuationSeparator" w:id="0">
    <w:p w14:paraId="4E126CAB" w14:textId="77777777" w:rsidR="00474A85" w:rsidRDefault="00474A85"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830AB"/>
    <w:multiLevelType w:val="hybridMultilevel"/>
    <w:tmpl w:val="46C2F522"/>
    <w:lvl w:ilvl="0" w:tplc="B7F47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2" w15:restartNumberingAfterBreak="0">
    <w:nsid w:val="17444436"/>
    <w:multiLevelType w:val="hybridMultilevel"/>
    <w:tmpl w:val="817A8E1A"/>
    <w:lvl w:ilvl="0" w:tplc="240434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88569C"/>
    <w:multiLevelType w:val="hybridMultilevel"/>
    <w:tmpl w:val="D8282BF2"/>
    <w:lvl w:ilvl="0" w:tplc="130CF0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9831FA"/>
    <w:multiLevelType w:val="hybridMultilevel"/>
    <w:tmpl w:val="1B7CE0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3289D"/>
    <w:multiLevelType w:val="hybridMultilevel"/>
    <w:tmpl w:val="ED42C674"/>
    <w:lvl w:ilvl="0" w:tplc="5A4A1BE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6"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32"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33"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0003860"/>
    <w:multiLevelType w:val="multilevel"/>
    <w:tmpl w:val="E856C908"/>
    <w:lvl w:ilvl="0">
      <w:start w:val="1"/>
      <w:numFmt w:val="decimal"/>
      <w:lvlText w:val="%1."/>
      <w:lvlJc w:val="left"/>
      <w:pPr>
        <w:ind w:left="960" w:hanging="6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6"/>
  </w:num>
  <w:num w:numId="4">
    <w:abstractNumId w:val="25"/>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40"/>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9"/>
  </w:num>
  <w:num w:numId="13">
    <w:abstractNumId w:val="13"/>
  </w:num>
  <w:num w:numId="14">
    <w:abstractNumId w:val="39"/>
  </w:num>
  <w:num w:numId="15">
    <w:abstractNumId w:val="4"/>
  </w:num>
  <w:num w:numId="16">
    <w:abstractNumId w:val="28"/>
  </w:num>
  <w:num w:numId="17">
    <w:abstractNumId w:val="34"/>
  </w:num>
  <w:num w:numId="18">
    <w:abstractNumId w:val="7"/>
  </w:num>
  <w:num w:numId="19">
    <w:abstractNumId w:val="5"/>
  </w:num>
  <w:num w:numId="20">
    <w:abstractNumId w:val="32"/>
  </w:num>
  <w:num w:numId="21">
    <w:abstractNumId w:val="33"/>
  </w:num>
  <w:num w:numId="22">
    <w:abstractNumId w:val="17"/>
  </w:num>
  <w:num w:numId="23">
    <w:abstractNumId w:val="22"/>
  </w:num>
  <w:num w:numId="24">
    <w:abstractNumId w:val="10"/>
  </w:num>
  <w:num w:numId="25">
    <w:abstractNumId w:val="1"/>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31"/>
  </w:num>
  <w:num w:numId="36">
    <w:abstractNumId w:val="18"/>
  </w:num>
  <w:num w:numId="37">
    <w:abstractNumId w:val="2"/>
  </w:num>
  <w:num w:numId="38">
    <w:abstractNumId w:val="8"/>
  </w:num>
  <w:num w:numId="39">
    <w:abstractNumId w:val="27"/>
  </w:num>
  <w:num w:numId="40">
    <w:abstractNumId w:val="30"/>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24"/>
  </w:num>
  <w:num w:numId="48">
    <w:abstractNumId w:val="9"/>
  </w:num>
  <w:num w:numId="49">
    <w:abstractNumId w:val="1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43FAC"/>
    <w:rsid w:val="0037409B"/>
    <w:rsid w:val="003C122A"/>
    <w:rsid w:val="003D5FA0"/>
    <w:rsid w:val="003F6114"/>
    <w:rsid w:val="004133E9"/>
    <w:rsid w:val="00422939"/>
    <w:rsid w:val="00474A85"/>
    <w:rsid w:val="004839DC"/>
    <w:rsid w:val="00484DB0"/>
    <w:rsid w:val="004A04BF"/>
    <w:rsid w:val="004B436D"/>
    <w:rsid w:val="004C4EE3"/>
    <w:rsid w:val="00506324"/>
    <w:rsid w:val="00511039"/>
    <w:rsid w:val="00514516"/>
    <w:rsid w:val="0056558B"/>
    <w:rsid w:val="005B6359"/>
    <w:rsid w:val="005E0685"/>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D16880"/>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next.westlaw.com/Document/I671c5250068011e88338c2a2b93e47e8/View/FullText.html?navigationPath=Search%2Fv1%2Fresults%2Fnavigation%2Fi0ad74011000001736e4e0afeb6ac0d3e%3FNav%3DPMM%26fragmentIdentifier%3DI671c5250068011e88338c2a2b93e47e8%26parentRank%3D0%26startIndex%3D1%26contextData%3D%2528sc.Search%2529%26transitionType%3DSearchItem&amp;listSource=Search&amp;listPageSource=0a25583dae989232a1735a0756cd673a&amp;list=PMM&amp;rank=24&amp;sessionScopeId=1bdc357ee1d95061506a87b7ff42a35ea95a8a6d36e893c7e491e1131b267f03&amp;originationContext=Search%20Result&amp;transitionType=SearchItem&amp;contextData=%28sc.Search%29" TargetMode="External"/><Relationship Id="rId13" Type="http://schemas.openxmlformats.org/officeDocument/2006/relationships/hyperlink" Target="https://1.next.westlaw.com/Link/Document/FullText?findType=Y&amp;serNum=2003762740&amp;pubNum=0000344&amp;originatingDoc=I671c5250068011e88338c2a2b93e47e8&amp;refType=RP&amp;fi=co_pp_sp_344_374&amp;originationContext=document&amp;transitionType=DocumentItem&amp;contextData=(sc.Sear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next.westlaw.com/Link/Document/FullText?findType=L&amp;pubNum=1005170&amp;cite=FLSTRCPR1.280&amp;originatingDoc=I671c5250068011e88338c2a2b93e47e8&amp;refType=LQ&amp;originationContext=document&amp;transitionType=DocumentItem&amp;contextData=(sc.Search)" TargetMode="External"/><Relationship Id="rId12" Type="http://schemas.openxmlformats.org/officeDocument/2006/relationships/hyperlink" Target="https://1.next.westlaw.com/Link/Document/FullText?findType=Y&amp;serNum=1994056311&amp;pubNum=0000735&amp;originatingDoc=I671c5250068011e88338c2a2b93e47e8&amp;refType=RP&amp;fi=co_pp_sp_735_698&amp;originationContext=document&amp;transitionType=DocumentItem&amp;contextData=(sc.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next.westlaw.com/Link/Document/FullText?findType=Y&amp;serNum=1994056311&amp;pubNum=0000735&amp;originatingDoc=I671c5250068011e88338c2a2b93e47e8&amp;refType=RP&amp;fi=co_pp_sp_735_698&amp;originationContext=document&amp;transitionType=DocumentItem&amp;contextData=(sc.Search)" TargetMode="External"/><Relationship Id="rId5" Type="http://schemas.openxmlformats.org/officeDocument/2006/relationships/footnotes" Target="footnotes.xml"/><Relationship Id="rId15" Type="http://schemas.openxmlformats.org/officeDocument/2006/relationships/hyperlink" Target="mailto:Pleadings@flinslaw.com" TargetMode="External"/><Relationship Id="rId10" Type="http://schemas.openxmlformats.org/officeDocument/2006/relationships/hyperlink" Target="https://1.next.westlaw.com/Document/I671c5250068011e88338c2a2b93e47e8/View/FullText.html?navigationPath=Search%2Fv1%2Fresults%2Fnavigation%2Fi0ad74011000001736e4e0afeb6ac0d3e%3FNav%3DPMM%26fragmentIdentifier%3DI671c5250068011e88338c2a2b93e47e8%26parentRank%3D0%26startIndex%3D1%26contextData%3D%2528sc.Search%2529%26transitionType%3DSearchItem&amp;listSource=Search&amp;listPageSource=0a25583dae989232a1735a0756cd673a&amp;list=PMM&amp;rank=24&amp;sessionScopeId=1bdc357ee1d95061506a87b7ff42a35ea95a8a6d36e893c7e491e1131b267f03&amp;originationContext=Search%20Result&amp;transitionType=SearchItem&amp;contextData=%28sc.Search%29" TargetMode="External"/><Relationship Id="rId4" Type="http://schemas.openxmlformats.org/officeDocument/2006/relationships/webSettings" Target="webSettings.xml"/><Relationship Id="rId9" Type="http://schemas.openxmlformats.org/officeDocument/2006/relationships/hyperlink" Target="https://1.next.westlaw.com/Link/Document/FullText?findType=L&amp;pubNum=1000600&amp;cite=USFRCPR26&amp;originatingDoc=I671c5250068011e88338c2a2b93e47e8&amp;refType=RB&amp;originationContext=document&amp;transitionType=DocumentItem&amp;contextData=(sc.Search)"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6427</Characters>
  <Application>Microsoft Office Word</Application>
  <DocSecurity>0</DocSecurity>
  <Lines>156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2022-02-20T02:19:00Z</dcterms:created>
  <dcterms:modified xsi:type="dcterms:W3CDTF">2022-02-20T02:19:00Z</dcterms:modified>
</cp:coreProperties>
</file>