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third-party-services"/>
    <w:p>
      <w:pPr>
        <w:pStyle w:val="Heading1"/>
      </w:pPr>
      <w:r>
        <w:t xml:space="preserve">Third-party services</w:t>
      </w:r>
    </w:p>
    <w:bookmarkStart w:id="13" w:name="X193be3fb0f9c48c4013fbb8a426f7f3774caadd"/>
    <w:p>
      <w:pPr>
        <w:pStyle w:val="Heading2"/>
      </w:pPr>
      <w:r>
        <w:t xml:space="preserve">Authentication with alternative package indexes</w:t>
      </w:r>
    </w:p>
    <w:p>
      <w:pPr>
        <w:pStyle w:val="FirstParagraph"/>
      </w:pPr>
      <w:r>
        <w:t xml:space="preserve">See the dedicated guides for authentication with popular alternative Python package indexes: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Azure Artifacts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Google Artifact Registry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AWS CodeArtifact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JFrog Artifactory</w:t>
        </w:r>
      </w:hyperlink>
    </w:p>
    <w:bookmarkEnd w:id="13"/>
    <w:bookmarkStart w:id="14" w:name="hugging-face-support"/>
    <w:p>
      <w:pPr>
        <w:pStyle w:val="Heading2"/>
      </w:pPr>
      <w:r>
        <w:t xml:space="preserve">Hugging Face support</w:t>
      </w:r>
    </w:p>
    <w:p>
      <w:pPr>
        <w:pStyle w:val="FirstParagraph"/>
      </w:pPr>
      <w:r>
        <w:t xml:space="preserve">uv supports automatic authentication for the Hugging Face Hub. Specifically, if the</w:t>
      </w:r>
      <w:r>
        <w:t xml:space="preserve"> </w:t>
      </w:r>
      <w:r>
        <w:rPr>
          <w:rStyle w:val="VerbatimChar"/>
        </w:rPr>
        <w:t xml:space="preserve">HF_TOKEN</w:t>
      </w:r>
      <w:r>
        <w:t xml:space="preserve"> </w:t>
      </w:r>
      <w:r>
        <w:t xml:space="preserve">environment variable is set, uv will propagate it to requests to</w:t>
      </w:r>
      <w:r>
        <w:t xml:space="preserve"> </w:t>
      </w:r>
      <w:r>
        <w:rPr>
          <w:rStyle w:val="VerbatimChar"/>
        </w:rPr>
        <w:t xml:space="preserve">huggingface.co</w:t>
      </w:r>
      <w:r>
        <w:t xml:space="preserve">.</w:t>
      </w:r>
    </w:p>
    <w:p>
      <w:pPr>
        <w:pStyle w:val="BodyText"/>
      </w:pPr>
      <w:r>
        <w:t xml:space="preserve">This is particularly useful for accessing private scripts in Hugging Face Datasets. For example, you</w:t>
      </w:r>
      <w:r>
        <w:t xml:space="preserve"> </w:t>
      </w:r>
      <w:r>
        <w:t xml:space="preserve">can run the following command to execute the script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script from a private dataset:</w:t>
      </w:r>
    </w:p>
    <w:p>
      <w:pPr>
        <w:pStyle w:val="SourceCode"/>
      </w:pPr>
      <w:r>
        <w:rPr>
          <w:rStyle w:val="VerbatimChar"/>
        </w:rPr>
        <w:t xml:space="preserve">$ HF_TOKEN=hf_... uv run https://huggingface.co/datasets/&lt;user&gt;/&lt;name&gt;/resolve/&lt;branch&gt;/main.py</w:t>
      </w:r>
    </w:p>
    <w:p>
      <w:pPr>
        <w:pStyle w:val="FirstParagraph"/>
      </w:pPr>
      <w:r>
        <w:t xml:space="preserve">You can disable automatic Hugging Face authentication by setting the</w:t>
      </w:r>
      <w:r>
        <w:t xml:space="preserve"> </w:t>
      </w:r>
      <w:r>
        <w:rPr>
          <w:rStyle w:val="VerbatimChar"/>
        </w:rPr>
        <w:t xml:space="preserve">UV_NO_HF_TOKEN=1</w:t>
      </w:r>
      <w:r>
        <w:t xml:space="preserve"> </w:t>
      </w:r>
      <w:r>
        <w:t xml:space="preserve">environment</w:t>
      </w:r>
      <w:r>
        <w:t xml:space="preserve"> </w:t>
      </w:r>
      <w:r>
        <w:t xml:space="preserve">variable.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../guides/integration/aws.md" TargetMode="External" /><Relationship Type="http://schemas.openxmlformats.org/officeDocument/2006/relationships/hyperlink" Id="rId9" Target="../../guides/integration/azure.md" TargetMode="External" /><Relationship Type="http://schemas.openxmlformats.org/officeDocument/2006/relationships/hyperlink" Id="rId10" Target="../../guides/integration/google.md" TargetMode="External" /><Relationship Type="http://schemas.openxmlformats.org/officeDocument/2006/relationships/hyperlink" Id="rId12" Target="../../guides/integration/jfro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../guides/integration/aws.md" TargetMode="External" /><Relationship Type="http://schemas.openxmlformats.org/officeDocument/2006/relationships/hyperlink" Id="rId9" Target="../../guides/integration/azure.md" TargetMode="External" /><Relationship Type="http://schemas.openxmlformats.org/officeDocument/2006/relationships/hyperlink" Id="rId10" Target="../../guides/integration/google.md" TargetMode="External" /><Relationship Type="http://schemas.openxmlformats.org/officeDocument/2006/relationships/hyperlink" Id="rId12" Target="../../guides/integration/jfro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ycelium_id">
    <vt:lpwstr>01M1BVEHYSMFA9PB5V1BB062E1</vt:lpwstr>
  </property>
</Properties>
</file>