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lement-coverage"/>
    <w:p>
      <w:pPr>
        <w:pStyle w:val="Heading1"/>
      </w:pPr>
      <w:r>
        <w:t xml:space="preserve">Element Coverage</w:t>
      </w:r>
    </w:p>
    <w:p>
      <w:pPr>
        <w:pStyle w:val="FirstParagraph"/>
      </w:pPr>
      <w:r>
        <w:t xml:space="preserve">This paragraph carries an</w:t>
      </w:r>
      <w:r>
        <w:t xml:space="preserve"> </w:t>
      </w:r>
      <w:r>
        <w:drawing>
          <wp:inline>
            <wp:extent cx="12700" cy="12700"/>
            <wp:effectExtent b="0" l="0" r="0" t="0"/>
            <wp:docPr descr="architecture diagram" title="" id="10" name="Picture"/>
            <a:graphic>
              <a:graphicData uri="http://schemas.openxmlformats.org/drawingml/2006/picture">
                <pic:pic>
                  <pic:nvPicPr>
                    <pic:cNvPr descr="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and a footnote.</w:t>
      </w:r>
      <w:r>
        <w:rPr>
          <w:rStyle w:val="FootnoteReference"/>
        </w:rPr>
        <w:footnoteReference w:id="12"/>
      </w:r>
    </w:p>
    <w:bookmarkStart w:id="15" w:name="ordered-steps"/>
    <w:p>
      <w:pPr>
        <w:pStyle w:val="Heading2"/>
      </w:pPr>
      <w:r>
        <w:t xml:space="preserve">Ordered steps</w:t>
      </w:r>
    </w:p>
    <w:p>
      <w:pPr>
        <w:pStyle w:val="Compact"/>
        <w:numPr>
          <w:ilvl w:val="0"/>
          <w:numId w:val="1001"/>
        </w:numPr>
      </w:pPr>
      <w:r>
        <w:t xml:space="preserve">first step</w:t>
      </w:r>
    </w:p>
    <w:p>
      <w:pPr>
        <w:pStyle w:val="Compact"/>
        <w:numPr>
          <w:ilvl w:val="0"/>
          <w:numId w:val="1001"/>
        </w:numPr>
      </w:pPr>
      <w:r>
        <w:t xml:space="preserve">second step</w:t>
      </w:r>
    </w:p>
    <w:p>
      <w:pPr>
        <w:pStyle w:val="Compact"/>
        <w:numPr>
          <w:ilvl w:val="1"/>
          <w:numId w:val="1002"/>
        </w:numPr>
      </w:pPr>
      <w:r>
        <w:t xml:space="preserve">a nested detail</w:t>
      </w:r>
    </w:p>
    <w:p>
      <w:pPr>
        <w:pStyle w:val="Compact"/>
        <w:numPr>
          <w:ilvl w:val="1"/>
          <w:numId w:val="1002"/>
        </w:numPr>
      </w:pPr>
      <w:r>
        <w:t xml:space="preserve">another nested detail</w:t>
      </w:r>
    </w:p>
    <w:bookmarkStart w:id="14" w:name="a-level-three-heading"/>
    <w:p>
      <w:pPr>
        <w:pStyle w:val="Heading3"/>
      </w:pPr>
      <w:r>
        <w:t xml:space="preserve">A level-three heading</w:t>
      </w:r>
    </w:p>
    <w:p>
      <w:pPr>
        <w:pStyle w:val="FirstParagraph"/>
      </w:pPr>
      <w:r>
        <w:t xml:space="preserve">Prose beneath a level-three heading.</w:t>
      </w:r>
    </w:p>
    <w:bookmarkStart w:id="13" w:name="a-level-four-heading"/>
    <w:p>
      <w:pPr>
        <w:pStyle w:val="Heading4"/>
      </w:pPr>
      <w:r>
        <w:t xml:space="preserve">A level-four heading</w:t>
      </w:r>
    </w:p>
    <w:p>
      <w:pPr>
        <w:pStyle w:val="FirstParagraph"/>
      </w:pPr>
      <w:r>
        <w:t xml:space="preserve">Prose beneath a level-four heading.</w:t>
      </w:r>
    </w:p>
    <w:bookmarkEnd w:id="13"/>
    <w:bookmarkEnd w:id="14"/>
    <w:bookmarkEnd w:id="15"/>
    <w:bookmarkStart w:id="16" w:name="code-and-quotation"/>
    <w:p>
      <w:pPr>
        <w:pStyle w:val="Heading2"/>
      </w:pPr>
      <w:r>
        <w:t xml:space="preserve">Code and quotation</w:t>
      </w:r>
    </w:p>
    <w:p>
      <w:pPr>
        <w:pStyle w:val="SourceCode"/>
      </w:pPr>
      <w:r>
        <w:rPr>
          <w:rStyle w:val="VerbatimChar"/>
        </w:rPr>
        <w:t xml:space="preserve">a code block with no language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deliveries;</w:t>
      </w:r>
    </w:p>
    <w:p>
      <w:pPr>
        <w:pStyle w:val="BlockText"/>
      </w:pPr>
      <w:r>
        <w:t xml:space="preserve">A quotation that stands on its own.</w:t>
      </w:r>
    </w:p>
    <w:p>
      <w:r>
        <w:pict>
          <v:rect style="width:0;height:1.5pt" o:hralign="center" o:hrstd="t" o:hr="t"/>
        </w:pict>
      </w:r>
    </w:p>
    <w:bookmarkEnd w:id="16"/>
    <w:bookmarkStart w:id="17" w:name="after-the-break"/>
    <w:p>
      <w:pPr>
        <w:pStyle w:val="Heading2"/>
      </w:pPr>
      <w:r>
        <w:t xml:space="preserve">After the break</w:t>
      </w:r>
    </w:p>
    <w:p>
      <w:pPr>
        <w:pStyle w:val="FirstParagraph"/>
      </w:pPr>
      <w:r>
        <w:t xml:space="preserve">The thematic break above is dropped by policy: it carries no content at all.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Footnotes belong to pandoc’s Markdown, not to CommonMark.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2026-09-02T06:18:59Z</dcterms:created>
  <dcterms:modified xsi:type="dcterms:W3CDTF">2026-09-02T06:18:59Z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