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References for Lumi Social Intelligence</w:t>
      </w:r>
    </w:p>
    <w:p>
      <w:r>
        <w:t xml:space="preserve">This source pack supports the NotebookLM articles on </w:t>
      </w:r>
      <w:r>
        <w:rPr>
          <w:b/>
        </w:rPr>
        <w:t>Lumi Social Intelligence</w:t>
      </w:r>
      <w:r>
        <w:t xml:space="preserve">, especially the technical article on </w:t>
      </w:r>
      <w:r>
        <w:rPr>
          <w:b/>
        </w:rPr>
        <w:t>Lumi Layered Memory</w:t>
      </w:r>
      <w:r>
        <w:t xml:space="preserve">, </w:t>
      </w:r>
      <w:r>
        <w:rPr>
          <w:b/>
        </w:rPr>
        <w:t>Nuances</w:t>
      </w:r>
      <w:r>
        <w:t xml:space="preserve">, and </w:t>
      </w:r>
      <w:r>
        <w:rPr>
          <w:b/>
        </w:rPr>
        <w:t>Presence</w:t>
      </w:r>
      <w:r>
        <w:t>. The references are used as grounding lanes, not as claims that the project implements a specific paper exactly.</w:t>
      </w:r>
    </w:p>
    <w:p>
      <w:pPr>
        <w:pStyle w:val="Heading1"/>
      </w:pPr>
      <w:r>
        <w:t>Agent memory, RAG, and personalization</w:t>
      </w:r>
    </w:p>
    <w:p>
      <w:pPr>
        <w:pStyle w:val="ListNumber"/>
      </w:pPr>
      <w:r>
        <w:rPr>
          <w:b/>
        </w:rPr>
        <w:t>Retrieval-Augmented Generation for Knowledge-Intensive NLP Tasks</w:t>
      </w:r>
      <w:r>
        <w:t xml:space="preserve"> — Patrick Lewis et al., 2020. arXiv:2005.11401. https://arxiv.org/abs/2005.11401</w:t>
      </w:r>
    </w:p>
    <w:p>
      <w:r>
        <w:t xml:space="preserve">   Supports the distinction between retrieval as a capability and Lumi Social Intelligence’s additional need for reviewable memory use, contextual appraisal, and action governance.</w:t>
      </w:r>
    </w:p>
    <w:p>
      <w:pPr>
        <w:pStyle w:val="ListNumber"/>
      </w:pPr>
      <w:r>
        <w:rPr>
          <w:b/>
        </w:rPr>
        <w:t>Reflexion: Language Agents with Verbal Reinforcement Learning</w:t>
      </w:r>
      <w:r>
        <w:t xml:space="preserve"> — Noah Shinn et al., 2023. arXiv:2303.11366. https://arxiv.org/abs/2303.11366</w:t>
      </w:r>
    </w:p>
    <w:p>
      <w:r>
        <w:t xml:space="preserve">   Relevant to agent self-reflection and learning loops; Lumi’s boundary is that social learning should route through review and receipts before becoming durable behavior.</w:t>
      </w:r>
    </w:p>
    <w:p>
      <w:pPr>
        <w:pStyle w:val="ListNumber"/>
      </w:pPr>
      <w:r>
        <w:rPr>
          <w:b/>
        </w:rPr>
        <w:t>Generative Agents: Interactive Simulacra of Human Behavior</w:t>
      </w:r>
      <w:r>
        <w:t xml:space="preserve"> — Joon Sung Park et al., 2023. arXiv:2304.03442. https://arxiv.org/abs/2304.03442</w:t>
      </w:r>
    </w:p>
    <w:p>
      <w:r>
        <w:t xml:space="preserve">   Useful comparison point for memory, reflection, and planning in agent behavior, while Lumi focuses on personal-agent boundaries, consent, and restraint.</w:t>
      </w:r>
    </w:p>
    <w:p>
      <w:pPr>
        <w:pStyle w:val="ListNumber"/>
      </w:pPr>
      <w:r>
        <w:rPr>
          <w:b/>
        </w:rPr>
        <w:t>MemGPT: Towards LLMs as Operating Systems</w:t>
      </w:r>
      <w:r>
        <w:t xml:space="preserve"> — Charles Packer et al., 2023. arXiv:2310.08560. https://arxiv.org/abs/2310.08560</w:t>
      </w:r>
    </w:p>
    <w:p>
      <w:r>
        <w:t xml:space="preserve">   Supports the idea that long-running agents need explicit memory management rather than relying only on context windows.</w:t>
      </w:r>
    </w:p>
    <w:p>
      <w:pPr>
        <w:pStyle w:val="ListNumber"/>
      </w:pPr>
      <w:r>
        <w:rPr>
          <w:b/>
        </w:rPr>
        <w:t>Toolformer: Language Models Can Teach Themselves to Use Tools</w:t>
      </w:r>
      <w:r>
        <w:t xml:space="preserve"> — Timo Schick et al., 2023. arXiv:2302.04761. https://arxiv.org/abs/2302.04761</w:t>
      </w:r>
    </w:p>
    <w:p>
      <w:r>
        <w:t xml:space="preserve">   Useful background for tool-using agents. Lumi’s contribution is not tool use itself, but the social decision layer around when an agent should act, ask, wait, or repair.</w:t>
      </w:r>
    </w:p>
    <w:p>
      <w:pPr>
        <w:pStyle w:val="ListNumber"/>
      </w:pPr>
      <w:r>
        <w:rPr>
          <w:b/>
        </w:rPr>
        <w:t>ReAct: Synergizing Reasoning and Acting in Language Models</w:t>
      </w:r>
      <w:r>
        <w:t xml:space="preserve"> — Shunyu Yao et al., 2022. arXiv:2210.03629. https://arxiv.org/abs/2210.03629</w:t>
      </w:r>
    </w:p>
    <w:p>
      <w:r>
        <w:t xml:space="preserve">   Background for reasoning/action loops. Presence can be understood as a social and safety gate around such loops.</w:t>
      </w:r>
    </w:p>
    <w:p>
      <w:pPr>
        <w:pStyle w:val="Heading1"/>
      </w:pPr>
      <w:r>
        <w:t>Human-agent interaction, mixed initiative, trust, and explainability</w:t>
      </w:r>
    </w:p>
    <w:p>
      <w:pPr>
        <w:pStyle w:val="ListNumber"/>
      </w:pPr>
      <w:r>
        <w:rPr>
          <w:b/>
        </w:rPr>
        <w:t>Guidelines for Human-AI Interaction</w:t>
      </w:r>
      <w:r>
        <w:t xml:space="preserve"> — Saleema Amershi et al., 2019. ACM CHI. DOI:10.1145/3290605.3300233. https://doi.org/10.1145/3290605.3300233</w:t>
      </w:r>
    </w:p>
    <w:p>
      <w:r>
        <w:t xml:space="preserve">   Supports the need for interaction norms such as showing uncertainty, allowing correction, and supporting graceful recovery.</w:t>
      </w:r>
    </w:p>
    <w:p>
      <w:pPr>
        <w:pStyle w:val="ListNumber"/>
      </w:pPr>
      <w:r>
        <w:rPr>
          <w:b/>
        </w:rPr>
        <w:t>Mixed-Initiative User Interfaces</w:t>
      </w:r>
      <w:r>
        <w:t xml:space="preserve"> — Eric Horvitz, 1999. CHI. DOI:10.1145/302979.303030. https://doi.org/10.1145/302979.303030</w:t>
      </w:r>
    </w:p>
    <w:p>
      <w:r>
        <w:t xml:space="preserve">   Relevant to Lumi’s Presence layer: initiative should be governed, contextual, and interruptible, not treated as inherently good.</w:t>
      </w:r>
    </w:p>
    <w:p>
      <w:pPr>
        <w:pStyle w:val="ListNumber"/>
      </w:pPr>
      <w:r>
        <w:rPr>
          <w:b/>
        </w:rPr>
        <w:t>Some Requirements for Human-like Robots: Why the Recent Over-Emphasis on Autonomy and Emotion is a Distraction</w:t>
      </w:r>
      <w:r>
        <w:t xml:space="preserve"> — Kerstin Dautenhahn, 2007. Philosophical Transactions of the Royal Society B. DOI:10.1098/rstb.2007.2059. https://doi.org/10.1098/rstb.2007.2059</w:t>
      </w:r>
    </w:p>
    <w:p>
      <w:r>
        <w:t xml:space="preserve">   Useful caution against equating social intelligence with emotion-performance or autonomy theater.</w:t>
      </w:r>
    </w:p>
    <w:p>
      <w:pPr>
        <w:pStyle w:val="ListNumber"/>
      </w:pPr>
      <w:r>
        <w:rPr>
          <w:b/>
        </w:rPr>
        <w:t>Why Should I Trust You? Explaining the Predictions of Any Classifier</w:t>
      </w:r>
      <w:r>
        <w:t xml:space="preserve"> — Marco Tulio Ribeiro, Sameer Singh, Carlos Guestrin, 2016. DOI:10.1145/2939672.2939778. https://doi.org/10.1145/2939672.2939778</w:t>
      </w:r>
    </w:p>
    <w:p>
      <w:r>
        <w:t xml:space="preserve">   Background for explainability. Lumi applies the same spirit to memory and action: show receipts and reasons, not hidden drift.</w:t>
      </w:r>
    </w:p>
    <w:p>
      <w:pPr>
        <w:pStyle w:val="Heading1"/>
      </w:pPr>
      <w:r>
        <w:t>Consent, privacy, and human-centered AI</w:t>
      </w:r>
    </w:p>
    <w:p>
      <w:pPr>
        <w:pStyle w:val="ListNumber"/>
      </w:pPr>
      <w:r>
        <w:rPr>
          <w:b/>
        </w:rPr>
        <w:t>Privacy as Contextual Integrity</w:t>
      </w:r>
      <w:r>
        <w:t xml:space="preserve"> — Helen Nissenbaum, 2004. Washington Law Review. https://crypto.stanford.edu/portia/papers/RevnissenbaumDTP31.pdf</w:t>
      </w:r>
    </w:p>
    <w:p>
      <w:r>
        <w:t xml:space="preserve">   Supports the idea that whether information use is appropriate depends on context, relationship, purpose, and transmission norms — central to Nuances.</w:t>
      </w:r>
    </w:p>
    <w:p>
      <w:pPr>
        <w:pStyle w:val="ListNumber"/>
      </w:pPr>
      <w:r>
        <w:rPr>
          <w:b/>
        </w:rPr>
        <w:t>Human-Centered AI</w:t>
      </w:r>
      <w:r>
        <w:t xml:space="preserve"> — Ben Shneiderman, 2020. Oxford University Press / related HCAI work. https://hcil.umd.edu/human-centered-ai/</w:t>
      </w:r>
    </w:p>
    <w:p>
      <w:r>
        <w:t xml:space="preserve">   Supports a design stance where automation, human control, reliability, and accountability are balanced rather than collapsed into autonomy.</w:t>
      </w:r>
    </w:p>
    <w:p>
      <w:pPr>
        <w:pStyle w:val="ListNumber"/>
      </w:pPr>
      <w:r>
        <w:rPr>
          <w:b/>
        </w:rPr>
        <w:t>The Consentful Tech Project</w:t>
      </w:r>
      <w:r>
        <w:t xml:space="preserve"> — Una Lee, Dann Toliver, and Allied Media Projects, 2017. https://www.consentfultech.io/</w:t>
      </w:r>
    </w:p>
    <w:p>
      <w:r>
        <w:t xml:space="preserve">   Practical design lens for consent, agency, and respectful defaults; useful for memory review, correction, and revocation boundaries.</w:t>
      </w:r>
    </w:p>
    <w:p>
      <w:pPr>
        <w:pStyle w:val="Heading1"/>
      </w:pPr>
      <w:r>
        <w:t>Safety, evaluation, and release engineering</w:t>
      </w:r>
    </w:p>
    <w:p>
      <w:pPr>
        <w:pStyle w:val="ListNumber"/>
      </w:pPr>
      <w:r>
        <w:rPr>
          <w:b/>
        </w:rPr>
        <w:t>Artificial Intelligence Risk Management Framework (AI RMF 1.0)</w:t>
      </w:r>
      <w:r>
        <w:t xml:space="preserve"> — NIST, 2023. https://www.nist.gov/itl/ai-risk-management-framework</w:t>
      </w:r>
    </w:p>
    <w:p>
      <w:r>
        <w:t xml:space="preserve">   Supports the framing of risk management, measurement, governance, and documentation around AI systems.</w:t>
      </w:r>
    </w:p>
    <w:p>
      <w:pPr>
        <w:pStyle w:val="ListNumber"/>
      </w:pPr>
      <w:r>
        <w:rPr>
          <w:b/>
        </w:rPr>
        <w:t>Red Teaming Language Models to Reduce Harms: Methods, Scaling Behaviors, and Lessons Learned</w:t>
      </w:r>
      <w:r>
        <w:t xml:space="preserve"> — Ganguli et al., 2022. arXiv:2209.07858. https://arxiv.org/abs/2209.07858</w:t>
      </w:r>
    </w:p>
    <w:p>
      <w:r>
        <w:t xml:space="preserve">   Background for adversarial and anti-pattern testing; Lumi uses anti-pattern fixtures and release gates to catch unsafe social behavior before runtime.</w:t>
      </w:r>
    </w:p>
    <w:p>
      <w:pPr>
        <w:pStyle w:val="ListNumber"/>
      </w:pPr>
      <w:r>
        <w:rPr>
          <w:b/>
        </w:rPr>
        <w:t>SLSA: Supply-chain Levels for Software Artifacts</w:t>
      </w:r>
      <w:r>
        <w:t xml:space="preserve"> — OpenSSF, specification v1.0. https://slsa.dev/spec/v1.0/</w:t>
      </w:r>
    </w:p>
    <w:p>
      <w:r>
        <w:t xml:space="preserve">   Supports artifact provenance, build hygiene, and release discipline.</w:t>
      </w:r>
    </w:p>
    <w:p>
      <w:pPr>
        <w:pStyle w:val="ListNumber"/>
      </w:pPr>
      <w:r>
        <w:rPr>
          <w:b/>
        </w:rPr>
        <w:t>Hermes Agent Documentation</w:t>
      </w:r>
      <w:r>
        <w:t xml:space="preserve"> — Nous Research, current docs. https://hermes-agent.nousresearch.com/docs</w:t>
      </w:r>
    </w:p>
    <w:p>
      <w:r>
        <w:t xml:space="preserve">   Practical reference for the first planned host target, </w:t>
      </w:r>
      <w:r>
        <w:rPr>
          <w:b/>
        </w:rPr>
        <w:t>Lumi for Hermes</w:t>
      </w:r>
      <w:r>
        <w:t>. The articles should not expose private Hermes runtime state; they should discuss Hermes as a host runtime and adapter target.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