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top w:val="single" w:sz="36" w:space="1" w:color="003D3E"/>
          <w:bottom w:val="single" w:sz="36" w:space="1" w:color="003D3E"/>
        </w:pBdr>
        <w:shd w:val="clear" w:color="auto" w:fill="003D3E"/>
      </w:pPr>
      <w:r>
        <w:rPr>
          <w:rFonts w:ascii="Calibri" w:hAnsi="Calibri"/>
          <w:b/>
          <w:i w:val="0"/>
          <w:color w:val="C0E8E8"/>
          <w:sz w:val="18"/>
        </w:rPr>
        <w:t xml:space="preserve">  CASFER  ·  NSF Engineering Research Center  ·  Texas Tech University</w:t>
      </w:r>
    </w:p>
    <w:p/>
    <w:p>
      <w:pPr>
        <w:spacing w:before="80" w:after="80"/>
        <w:jc w:val="left"/>
      </w:pPr>
      <w:r>
        <w:rPr>
          <w:rFonts w:ascii="Calibri" w:hAnsi="Calibri"/>
          <w:b/>
          <w:i w:val="0"/>
          <w:color w:val="003D3E"/>
          <w:sz w:val="52"/>
        </w:rPr>
        <w:t>CASFER Pre-Arrival Learning Hub</w:t>
      </w:r>
    </w:p>
    <w:p>
      <w:pPr>
        <w:spacing w:before="0" w:after="160"/>
      </w:pPr>
      <w:r>
        <w:rPr>
          <w:rFonts w:ascii="Calibri" w:hAnsi="Calibri"/>
          <w:b w:val="0"/>
          <w:i/>
          <w:color w:val="45556A"/>
          <w:sz w:val="28"/>
        </w:rPr>
        <w:t>Project Plan — Summer Research Programs (REU / RET)</w:t>
      </w:r>
    </w:p>
    <w:p>
      <w:pPr>
        <w:pBdr>
          <w:bottom w:val="single" w:sz="16" w:space="1" w:color="C41230"/>
        </w:pBdr>
        <w:spacing w:before="0" w:after="80"/>
      </w:pPr>
    </w:p>
    <w:p>
      <w:pPr>
        <w:spacing w:before="60" w:after="60"/>
      </w:pPr>
      <w:r>
        <w:rPr>
          <w:rFonts w:ascii="Calibri" w:hAnsi="Calibri"/>
          <w:b/>
          <w:i w:val="0"/>
          <w:color w:val="005B5C"/>
          <w:sz w:val="20"/>
        </w:rPr>
        <w:t xml:space="preserve">Prepared by:  </w:t>
      </w:r>
      <w:r>
        <w:rPr>
          <w:rFonts w:ascii="Calibri" w:hAnsi="Calibri"/>
          <w:b w:val="0"/>
          <w:i w:val="0"/>
          <w:color w:val="1C2128"/>
          <w:sz w:val="20"/>
        </w:rPr>
        <w:t>CASFER Leadership Program</w:t>
      </w:r>
    </w:p>
    <w:p>
      <w:pPr>
        <w:spacing w:before="60" w:after="60"/>
      </w:pPr>
      <w:r>
        <w:rPr>
          <w:rFonts w:ascii="Calibri" w:hAnsi="Calibri"/>
          <w:b/>
          <w:i w:val="0"/>
          <w:color w:val="005B5C"/>
          <w:sz w:val="20"/>
        </w:rPr>
        <w:t xml:space="preserve">Institution:  </w:t>
      </w:r>
      <w:r>
        <w:rPr>
          <w:rFonts w:ascii="Calibri" w:hAnsi="Calibri"/>
          <w:b w:val="0"/>
          <w:i w:val="0"/>
          <w:color w:val="1C2128"/>
          <w:sz w:val="20"/>
        </w:rPr>
        <w:t>Texas Tech University — NSF Engineering Research Center</w:t>
        <w:br/>
        <w:t>for Advancing Sustainable and Distributed Fertilizer Production (CASFER)</w:t>
      </w:r>
    </w:p>
    <w:p>
      <w:pPr>
        <w:spacing w:before="60" w:after="60"/>
      </w:pPr>
      <w:r>
        <w:rPr>
          <w:rFonts w:ascii="Calibri" w:hAnsi="Calibri"/>
          <w:b/>
          <w:i w:val="0"/>
          <w:color w:val="005B5C"/>
          <w:sz w:val="20"/>
        </w:rPr>
        <w:t xml:space="preserve">Program Year:  </w:t>
      </w:r>
      <w:r>
        <w:rPr>
          <w:rFonts w:ascii="Calibri" w:hAnsi="Calibri"/>
          <w:b w:val="0"/>
          <w:i w:val="0"/>
          <w:color w:val="1C2128"/>
          <w:sz w:val="20"/>
        </w:rPr>
        <w:t>Summer 2025</w:t>
      </w:r>
    </w:p>
    <w:p>
      <w:pPr>
        <w:spacing w:before="60" w:after="60"/>
      </w:pPr>
      <w:r>
        <w:rPr>
          <w:rFonts w:ascii="Calibri" w:hAnsi="Calibri"/>
          <w:b/>
          <w:i w:val="0"/>
          <w:color w:val="005B5C"/>
          <w:sz w:val="20"/>
        </w:rPr>
        <w:t xml:space="preserve">Document status:  </w:t>
      </w:r>
      <w:r>
        <w:rPr>
          <w:rFonts w:ascii="Calibri" w:hAnsi="Calibri"/>
          <w:b w:val="0"/>
          <w:i w:val="0"/>
          <w:color w:val="1C2128"/>
          <w:sz w:val="20"/>
        </w:rPr>
        <w:t>Draft for review</w:t>
      </w:r>
    </w:p>
    <w:p>
      <w:pPr>
        <w:pBdr>
          <w:bottom w:val="single" w:sz="12" w:space="1" w:color="005B5C"/>
        </w:pBdr>
        <w:spacing w:before="0" w:after="80"/>
      </w:pPr>
    </w:p>
    <w:p/>
    <w:p>
      <w:pPr>
        <w:spacing w:before="320" w:after="120"/>
        <w:pBdr>
          <w:bottom w:val="single" w:sz="6" w:space="1" w:color="005B5C"/>
        </w:pBdr>
      </w:pPr>
      <w:r>
        <w:rPr>
          <w:rFonts w:ascii="Calibri" w:hAnsi="Calibri"/>
          <w:b/>
          <w:i w:val="0"/>
          <w:color w:val="003D3E"/>
          <w:sz w:val="28"/>
        </w:rPr>
        <w:t>1. Background and Problem Statement</w:t>
      </w:r>
    </w:p>
    <w:p>
      <w:pPr>
        <w:spacing w:before="0" w:after="120"/>
      </w:pPr>
      <w:r>
        <w:rPr>
          <w:rFonts w:ascii="Calibri" w:hAnsi="Calibri"/>
          <w:b w:val="0"/>
          <w:i w:val="0"/>
          <w:color w:val="1C2128"/>
          <w:sz w:val="22"/>
        </w:rPr>
        <w:t>CASFER's summer research programs — the Research Experience for Undergraduates (REU), Research Experience for Teachers (RET), and affiliated high school cohorts — bring participants from widely varying academic and laboratory backgrounds into active research groups for 8–10 weeks. Each participant is embedded with a graduate student mentor, who is responsible for advancing their own dissertation research while simultaneously onboarding and training their summer participant.</w:t>
      </w:r>
    </w:p>
    <w:p>
      <w:pPr>
        <w:spacing w:before="0" w:after="80"/>
      </w:pPr>
      <w:r>
        <w:rPr>
          <w:rFonts w:ascii="Calibri" w:hAnsi="Calibri"/>
          <w:b w:val="0"/>
          <w:i w:val="0"/>
          <w:color w:val="1C2128"/>
          <w:sz w:val="22"/>
        </w:rPr>
        <w:t>The core problem is a skill gap that creates a training burden on graduate students.</w:t>
      </w:r>
    </w:p>
    <w:p>
      <w:pPr>
        <w:spacing w:before="0" w:after="120"/>
      </w:pPr>
      <w:r>
        <w:rPr>
          <w:rFonts w:ascii="Calibri" w:hAnsi="Calibri"/>
          <w:b w:val="0"/>
          <w:i w:val="0"/>
          <w:color w:val="1C2128"/>
          <w:sz w:val="22"/>
        </w:rPr>
        <w:t>Participants arrive with uneven preparation: some have worked in research labs before, others have never held a pipette, used an analytical balance, or kept a scientific lab notebook. Because this gap is unpredictable and participants arrive at the same time, graduate student mentors currently spend a significant portion of Week 1 — and sometimes Week 2 — covering the same fundamental skills from scratch with each new participant. This time cannot be recovered. Every hour spent on basic pipetting technique or lab safety orientation is an hour not spent advancing the dissertation research the mentor was hired to conduct.</w:t>
      </w:r>
    </w:p>
    <w:p>
      <w:pPr>
        <w:spacing w:before="0" w:after="120"/>
      </w:pPr>
      <w:r>
        <w:rPr>
          <w:rFonts w:ascii="Calibri" w:hAnsi="Calibri"/>
          <w:b w:val="0"/>
          <w:i w:val="0"/>
          <w:color w:val="1C2128"/>
          <w:sz w:val="22"/>
        </w:rPr>
        <w:t>The impact compounds over a short program: an 8-week REU that loses 1.5 weeks to remedial training retains only 6.5 productive weeks. For graduate students on tight experimental timelines, this delay is consequential.</w:t>
      </w:r>
    </w:p>
    <w:p>
      <w:pPr>
        <w:spacing w:before="0" w:after="120"/>
      </w:pPr>
      <w:r>
        <w:rPr>
          <w:rFonts w:ascii="Calibri" w:hAnsi="Calibri"/>
          <w:b w:val="0"/>
          <w:i w:val="0"/>
          <w:color w:val="1C2128"/>
          <w:sz w:val="22"/>
        </w:rPr>
        <w:t>The solution must bring participants to a shared baseline before they arrive on campus — not during the program.</w:t>
      </w:r>
    </w:p>
    <w:p>
      <w:pPr>
        <w:spacing w:before="320" w:after="120"/>
        <w:pBdr>
          <w:bottom w:val="single" w:sz="6" w:space="1" w:color="005B5C"/>
        </w:pBdr>
      </w:pPr>
      <w:r>
        <w:rPr>
          <w:rFonts w:ascii="Calibri" w:hAnsi="Calibri"/>
          <w:b/>
          <w:i w:val="0"/>
          <w:color w:val="003D3E"/>
          <w:sz w:val="28"/>
        </w:rPr>
        <w:t>2. Goal and Objectives</w:t>
      </w:r>
    </w:p>
    <w:p>
      <w:pPr>
        <w:spacing w:after="80"/>
      </w:pPr>
      <w:r>
        <w:rPr>
          <w:rFonts w:ascii="Calibri" w:hAnsi="Calibri"/>
          <w:b/>
          <w:i w:val="0"/>
          <w:color w:val="003D3E"/>
          <w:sz w:val="22"/>
        </w:rPr>
        <w:t xml:space="preserve">Goal:  </w:t>
      </w:r>
      <w:r>
        <w:rPr>
          <w:rFonts w:ascii="Calibri" w:hAnsi="Calibri"/>
          <w:b w:val="0"/>
          <w:i w:val="0"/>
          <w:color w:val="1C2128"/>
          <w:sz w:val="22"/>
        </w:rPr>
        <w:t>Eliminate the remedial training burden in Week 1 by ensuring all participants arrive with a documented common baseline in core lab skills, safety awareness, and CASFER science context.</w:t>
      </w:r>
    </w:p>
    <w:p>
      <w:pPr>
        <w:spacing w:before="0" w:after="80"/>
      </w:pPr>
      <w:r>
        <w:rPr>
          <w:rFonts w:ascii="Calibri" w:hAnsi="Calibri"/>
          <w:b w:val="0"/>
          <w:i w:val="0"/>
          <w:color w:val="1C2128"/>
          <w:sz w:val="22"/>
        </w:rPr>
        <w:t>Objectives:</w:t>
      </w:r>
    </w:p>
    <w:p>
      <w:pPr>
        <w:pStyle w:val="ListBullet"/>
        <w:spacing w:before="40" w:after="40"/>
        <w:ind w:left="432"/>
      </w:pPr>
      <w:r>
        <w:rPr>
          <w:rFonts w:ascii="Calibri" w:hAnsi="Calibri"/>
          <w:b w:val="0"/>
          <w:i w:val="0"/>
          <w:color w:val="1C2128"/>
          <w:sz w:val="22"/>
        </w:rPr>
        <w:t>Deliver a self-paced, online Pre-Arrival Learning Hub that participants complete in the week before their program start date.</w:t>
      </w:r>
    </w:p>
    <w:p>
      <w:pPr>
        <w:pStyle w:val="ListBullet"/>
        <w:spacing w:before="40" w:after="40"/>
        <w:ind w:left="432"/>
      </w:pPr>
      <w:r>
        <w:rPr>
          <w:rFonts w:ascii="Calibri" w:hAnsi="Calibri"/>
          <w:b w:val="0"/>
          <w:i w:val="0"/>
          <w:color w:val="1C2128"/>
          <w:sz w:val="22"/>
        </w:rPr>
        <w:t>Cover six essential knowledge areas: lab safety, wet-lab technique, documentation, instrumentation, data analysis, and CASFER science context.</w:t>
      </w:r>
    </w:p>
    <w:p>
      <w:pPr>
        <w:pStyle w:val="ListBullet"/>
        <w:spacing w:before="40" w:after="40"/>
        <w:ind w:left="432"/>
      </w:pPr>
      <w:r>
        <w:rPr>
          <w:rFonts w:ascii="Calibri" w:hAnsi="Calibri"/>
          <w:b w:val="0"/>
          <w:i w:val="0"/>
          <w:color w:val="1C2128"/>
          <w:sz w:val="22"/>
        </w:rPr>
        <w:t>Gate progression so participants cannot skip sections — each module must be completed before the next unlocks.</w:t>
      </w:r>
    </w:p>
    <w:p>
      <w:pPr>
        <w:pStyle w:val="ListBullet"/>
        <w:spacing w:before="40" w:after="40"/>
        <w:ind w:left="432"/>
      </w:pPr>
      <w:r>
        <w:rPr>
          <w:rFonts w:ascii="Calibri" w:hAnsi="Calibri"/>
          <w:b w:val="0"/>
          <w:i w:val="0"/>
          <w:color w:val="1C2128"/>
          <w:sz w:val="22"/>
        </w:rPr>
        <w:t>Issue a printable certificate of completion that participants bring to their Week 1 check-in, confirming pre-arrival engagement.</w:t>
      </w:r>
    </w:p>
    <w:p>
      <w:pPr>
        <w:pStyle w:val="ListBullet"/>
        <w:spacing w:before="40" w:after="40"/>
        <w:ind w:left="432"/>
      </w:pPr>
      <w:r>
        <w:rPr>
          <w:rFonts w:ascii="Calibri" w:hAnsi="Calibri"/>
          <w:b w:val="0"/>
          <w:i w:val="0"/>
          <w:color w:val="1C2128"/>
          <w:sz w:val="22"/>
        </w:rPr>
        <w:t>Reserve Week 1 for a brief, practical baseline assessment — confirming demonstrated (not just recognized) competency — and for hands-on orientation to the specific lab.</w:t>
      </w:r>
    </w:p>
    <w:p/>
    <w:p>
      <w:pPr>
        <w:spacing w:before="320" w:after="120"/>
        <w:pBdr>
          <w:bottom w:val="single" w:sz="6" w:space="1" w:color="005B5C"/>
        </w:pBdr>
      </w:pPr>
      <w:r>
        <w:rPr>
          <w:rFonts w:ascii="Calibri" w:hAnsi="Calibri"/>
          <w:b/>
          <w:i w:val="0"/>
          <w:color w:val="003D3E"/>
          <w:sz w:val="28"/>
        </w:rPr>
        <w:t>3. Target Audience</w:t>
      </w:r>
    </w:p>
    <w:p>
      <w:pPr>
        <w:spacing w:before="60" w:after="60"/>
      </w:pPr>
      <w:r>
        <w:rPr>
          <w:rFonts w:ascii="Calibri" w:hAnsi="Calibri"/>
          <w:b/>
          <w:i w:val="0"/>
          <w:color w:val="005B5C"/>
          <w:sz w:val="22"/>
        </w:rPr>
        <w:t xml:space="preserve">Primary users:  </w:t>
      </w:r>
      <w:r>
        <w:rPr>
          <w:rFonts w:ascii="Calibri" w:hAnsi="Calibri"/>
          <w:b w:val="0"/>
          <w:i w:val="0"/>
          <w:color w:val="1C2128"/>
          <w:sz w:val="22"/>
        </w:rPr>
        <w:t>Incoming REU undergraduates, RET teachers, and summer high school participants placed with CASFER research groups.</w:t>
      </w:r>
    </w:p>
    <w:p>
      <w:pPr>
        <w:spacing w:before="60" w:after="60"/>
      </w:pPr>
      <w:r>
        <w:rPr>
          <w:rFonts w:ascii="Calibri" w:hAnsi="Calibri"/>
          <w:b/>
          <w:i w:val="0"/>
          <w:color w:val="005B5C"/>
          <w:sz w:val="22"/>
        </w:rPr>
        <w:t xml:space="preserve">Secondary users:  </w:t>
      </w:r>
      <w:r>
        <w:rPr>
          <w:rFonts w:ascii="Calibri" w:hAnsi="Calibri"/>
          <w:b w:val="0"/>
          <w:i w:val="0"/>
          <w:color w:val="1C2128"/>
          <w:sz w:val="22"/>
        </w:rPr>
        <w:t>Graduate student mentors (benefit from reduced onboarding burden) and CASFER faculty/program directors (benefit from documented baseline compliance).</w:t>
      </w:r>
    </w:p>
    <w:p>
      <w:pPr>
        <w:spacing w:before="60" w:after="60"/>
      </w:pPr>
      <w:r>
        <w:rPr>
          <w:rFonts w:ascii="Calibri" w:hAnsi="Calibri"/>
          <w:b/>
          <w:i w:val="0"/>
          <w:color w:val="005B5C"/>
          <w:sz w:val="22"/>
        </w:rPr>
        <w:t xml:space="preserve">Starting knowledge:  </w:t>
      </w:r>
      <w:r>
        <w:rPr>
          <w:rFonts w:ascii="Calibri" w:hAnsi="Calibri"/>
          <w:b w:val="0"/>
          <w:i w:val="0"/>
          <w:color w:val="1C2128"/>
          <w:sz w:val="22"/>
        </w:rPr>
        <w:t>No prior research lab experience is assumed. The hub is designed to be accessible to a first-year undergraduate or high school student with basic science coursework.</w:t>
      </w:r>
    </w:p>
    <w:p/>
    <w:p>
      <w:pPr>
        <w:spacing w:before="320" w:after="120"/>
        <w:pBdr>
          <w:bottom w:val="single" w:sz="6" w:space="1" w:color="005B5C"/>
        </w:pBdr>
      </w:pPr>
      <w:r>
        <w:rPr>
          <w:rFonts w:ascii="Calibri" w:hAnsi="Calibri"/>
          <w:b/>
          <w:i w:val="0"/>
          <w:color w:val="003D3E"/>
          <w:sz w:val="28"/>
        </w:rPr>
        <w:t>4. Scope</w:t>
      </w:r>
    </w:p>
    <w:p>
      <w:pPr>
        <w:spacing w:before="200" w:after="120"/>
      </w:pPr>
      <w:r>
        <w:rPr>
          <w:rFonts w:ascii="Calibri" w:hAnsi="Calibri"/>
          <w:b/>
          <w:i w:val="0"/>
          <w:color w:val="1C2128"/>
          <w:sz w:val="24"/>
        </w:rPr>
        <w:t>In scope:</w:t>
      </w:r>
    </w:p>
    <w:p>
      <w:pPr>
        <w:pStyle w:val="ListBullet"/>
        <w:spacing w:before="40" w:after="40"/>
        <w:ind w:left="432"/>
      </w:pPr>
      <w:r>
        <w:rPr>
          <w:rFonts w:ascii="Calibri" w:hAnsi="Calibri"/>
          <w:b w:val="0"/>
          <w:i w:val="0"/>
          <w:color w:val="1C2128"/>
          <w:sz w:val="22"/>
        </w:rPr>
        <w:t>A six-module self-paced website covering the topics listed in Section 6</w:t>
      </w:r>
    </w:p>
    <w:p>
      <w:pPr>
        <w:pStyle w:val="ListBullet"/>
        <w:spacing w:before="40" w:after="40"/>
        <w:ind w:left="432"/>
      </w:pPr>
      <w:r>
        <w:rPr>
          <w:rFonts w:ascii="Calibri" w:hAnsi="Calibri"/>
          <w:b w:val="0"/>
          <w:i w:val="0"/>
          <w:color w:val="1C2128"/>
          <w:sz w:val="22"/>
        </w:rPr>
        <w:t>Embedded YouTube video resources and written reading guides for each module</w:t>
      </w:r>
    </w:p>
    <w:p>
      <w:pPr>
        <w:pStyle w:val="ListBullet"/>
        <w:spacing w:before="40" w:after="40"/>
        <w:ind w:left="432"/>
      </w:pPr>
      <w:r>
        <w:rPr>
          <w:rFonts w:ascii="Calibri" w:hAnsi="Calibri"/>
          <w:b w:val="0"/>
          <w:i w:val="0"/>
          <w:color w:val="1C2128"/>
          <w:sz w:val="22"/>
        </w:rPr>
        <w:t>A short quiz at the end of each module (must pass to unlock the next)</w:t>
      </w:r>
    </w:p>
    <w:p>
      <w:pPr>
        <w:pStyle w:val="ListBullet"/>
        <w:spacing w:before="40" w:after="40"/>
        <w:ind w:left="432"/>
      </w:pPr>
      <w:r>
        <w:rPr>
          <w:rFonts w:ascii="Calibri" w:hAnsi="Calibri"/>
          <w:b w:val="0"/>
          <w:i w:val="0"/>
          <w:color w:val="1C2128"/>
          <w:sz w:val="22"/>
        </w:rPr>
        <w:t>A final self-confirmation checklist and printable/downloadable certificate of completion</w:t>
      </w:r>
    </w:p>
    <w:p>
      <w:pPr>
        <w:pStyle w:val="ListBullet"/>
        <w:spacing w:before="40" w:after="40"/>
        <w:ind w:left="432"/>
      </w:pPr>
      <w:r>
        <w:rPr>
          <w:rFonts w:ascii="Calibri" w:hAnsi="Calibri"/>
          <w:b w:val="0"/>
          <w:i w:val="0"/>
          <w:color w:val="1C2128"/>
          <w:sz w:val="22"/>
        </w:rPr>
        <w:t>A disclaimer making clear that the hub does not replace formal EHS lab safety clearance</w:t>
      </w:r>
    </w:p>
    <w:p>
      <w:pPr>
        <w:spacing w:before="200" w:after="120"/>
      </w:pPr>
      <w:r>
        <w:rPr>
          <w:rFonts w:ascii="Calibri" w:hAnsi="Calibri"/>
          <w:b/>
          <w:i w:val="0"/>
          <w:color w:val="1C2128"/>
          <w:sz w:val="24"/>
        </w:rPr>
        <w:t>Out of scope (initial version):</w:t>
      </w:r>
    </w:p>
    <w:p>
      <w:pPr>
        <w:pStyle w:val="ListBullet"/>
        <w:spacing w:before="40" w:after="40"/>
        <w:ind w:left="432"/>
      </w:pPr>
      <w:r>
        <w:rPr>
          <w:rFonts w:ascii="Calibri" w:hAnsi="Calibri"/>
          <w:b w:val="0"/>
          <w:i w:val="0"/>
          <w:color w:val="1C2128"/>
          <w:sz w:val="22"/>
        </w:rPr>
        <w:t>Central server-side tracking of participant completions (progress saved per device; certificates collected manually at check-in)</w:t>
      </w:r>
    </w:p>
    <w:p>
      <w:pPr>
        <w:pStyle w:val="ListBullet"/>
        <w:spacing w:before="40" w:after="40"/>
        <w:ind w:left="432"/>
      </w:pPr>
      <w:r>
        <w:rPr>
          <w:rFonts w:ascii="Calibri" w:hAnsi="Calibri"/>
          <w:b w:val="0"/>
          <w:i w:val="0"/>
          <w:color w:val="1C2128"/>
          <w:sz w:val="22"/>
        </w:rPr>
        <w:t>Lab-specific content, e.g. procedures specific to a single PI's lab — handled during in-person Week 1 orientation</w:t>
      </w:r>
    </w:p>
    <w:p>
      <w:pPr>
        <w:pStyle w:val="ListBullet"/>
        <w:spacing w:before="40" w:after="40"/>
        <w:ind w:left="432"/>
      </w:pPr>
      <w:r>
        <w:rPr>
          <w:rFonts w:ascii="Calibri" w:hAnsi="Calibri"/>
          <w:b w:val="0"/>
          <w:i w:val="0"/>
          <w:color w:val="1C2128"/>
          <w:sz w:val="22"/>
        </w:rPr>
        <w:t>Formal grading, credit, or LMS integration</w:t>
      </w:r>
    </w:p>
    <w:p>
      <w:pPr>
        <w:pStyle w:val="ListBullet"/>
        <w:spacing w:before="40" w:after="40"/>
        <w:ind w:left="432"/>
      </w:pPr>
      <w:r>
        <w:rPr>
          <w:rFonts w:ascii="Calibri" w:hAnsi="Calibri"/>
          <w:b w:val="0"/>
          <w:i w:val="0"/>
          <w:color w:val="1C2128"/>
          <w:sz w:val="22"/>
        </w:rPr>
        <w:t>Mobile app</w:t>
      </w:r>
    </w:p>
    <w:p/>
    <w:p>
      <w:pPr>
        <w:spacing w:before="320" w:after="120"/>
        <w:pBdr>
          <w:bottom w:val="single" w:sz="6" w:space="1" w:color="005B5C"/>
        </w:pBdr>
      </w:pPr>
      <w:r>
        <w:rPr>
          <w:rFonts w:ascii="Calibri" w:hAnsi="Calibri"/>
          <w:b/>
          <w:i w:val="0"/>
          <w:color w:val="003D3E"/>
          <w:sz w:val="28"/>
        </w:rPr>
        <w:t>5. Proposed Solution and Workflow</w:t>
      </w:r>
    </w:p>
    <w:p>
      <w:pPr>
        <w:spacing w:before="200" w:after="120"/>
      </w:pPr>
      <w:r>
        <w:rPr>
          <w:rFonts w:ascii="Calibri" w:hAnsi="Calibri"/>
          <w:b/>
          <w:i w:val="0"/>
          <w:color w:val="1C2128"/>
          <w:sz w:val="24"/>
        </w:rPr>
        <w:t>The "study before, verify on arrival" model</w:t>
      </w:r>
    </w:p>
    <w:p>
      <w:pPr>
        <w:spacing w:before="120" w:after="120"/>
        <w:ind w:left="432"/>
        <w:shd w:val="clear" w:color="auto" w:fill="EBF4F4"/>
        <w:pBdr>
          <w:top w:val="single" w:sz="4" w:space="4" w:color="005B5C"/>
          <w:left w:val="single" w:sz="4" w:space="4" w:color="005B5C"/>
          <w:bottom w:val="single" w:sz="4" w:space="4" w:color="005B5C"/>
          <w:right w:val="single" w:sz="4" w:space="4" w:color="005B5C"/>
        </w:pBdr>
      </w:pPr>
      <w:r>
        <w:rPr>
          <w:rFonts w:ascii="Courier New" w:hAnsi="Courier New"/>
          <w:color w:val="003D3E"/>
          <w:sz w:val="18"/>
        </w:rPr>
        <w:t>T-7 days          T-1 day         Day 1 (arrival)        Week 1</w:t>
        <w:br/>
        <w:t>─────────────────────────────────────────────────────────────────────</w:t>
        <w:br/>
        <w:t>Participant         Participant      Participant             Mentor-led</w:t>
        <w:br/>
        <w:t>receives link  →   completes    →   presents         →     practical</w:t>
        <w:br/>
        <w:t>to Learning Hub    hub + earns      certificate at         baseline</w:t>
        <w:br/>
        <w:t xml:space="preserve">                   certificate      check-in               assessment</w:t>
      </w:r>
    </w:p>
    <w:p>
      <w:pPr>
        <w:spacing w:before="200" w:after="120"/>
      </w:pPr>
      <w:r>
        <w:rPr>
          <w:rFonts w:ascii="Calibri" w:hAnsi="Calibri"/>
          <w:b/>
          <w:i w:val="0"/>
          <w:color w:val="1C2128"/>
          <w:sz w:val="24"/>
        </w:rPr>
        <w:t>Pre-arrival (participant, ~3–4 hours over 1 week):</w:t>
      </w:r>
    </w:p>
    <w:p>
      <w:pPr>
        <w:pStyle w:val="ListNumber"/>
        <w:spacing w:before="40" w:after="40"/>
        <w:ind w:left="432"/>
      </w:pPr>
      <w:r>
        <w:rPr>
          <w:rFonts w:ascii="Calibri" w:hAnsi="Calibri"/>
          <w:b w:val="0"/>
          <w:i w:val="0"/>
          <w:color w:val="1C2128"/>
          <w:sz w:val="22"/>
        </w:rPr>
        <w:t>Participant receives the Learning Hub link via email, approximately 7 days before program start.</w:t>
      </w:r>
    </w:p>
    <w:p>
      <w:pPr>
        <w:pStyle w:val="ListNumber"/>
        <w:spacing w:before="40" w:after="40"/>
        <w:ind w:left="432"/>
      </w:pPr>
      <w:r>
        <w:rPr>
          <w:rFonts w:ascii="Calibri" w:hAnsi="Calibri"/>
          <w:b w:val="0"/>
          <w:i w:val="0"/>
          <w:color w:val="1C2128"/>
          <w:sz w:val="22"/>
        </w:rPr>
        <w:t>Participant signs in with name and email.</w:t>
      </w:r>
    </w:p>
    <w:p>
      <w:pPr>
        <w:pStyle w:val="ListNumber"/>
        <w:spacing w:before="40" w:after="40"/>
        <w:ind w:left="432"/>
      </w:pPr>
      <w:r>
        <w:rPr>
          <w:rFonts w:ascii="Calibri" w:hAnsi="Calibri"/>
          <w:b w:val="0"/>
          <w:i w:val="0"/>
          <w:color w:val="1C2128"/>
          <w:sz w:val="22"/>
        </w:rPr>
        <w:t>Participant works through the six modules in order, watching videos and reading guides.</w:t>
      </w:r>
    </w:p>
    <w:p>
      <w:pPr>
        <w:pStyle w:val="ListNumber"/>
        <w:spacing w:before="40" w:after="40"/>
        <w:ind w:left="432"/>
      </w:pPr>
      <w:r>
        <w:rPr>
          <w:rFonts w:ascii="Calibri" w:hAnsi="Calibri"/>
          <w:b w:val="0"/>
          <w:i w:val="0"/>
          <w:color w:val="1C2128"/>
          <w:sz w:val="22"/>
        </w:rPr>
        <w:t>At the end of each module, a short quiz (3–5 questions) must be passed before the next module unlocks.</w:t>
      </w:r>
    </w:p>
    <w:p>
      <w:pPr>
        <w:pStyle w:val="ListNumber"/>
        <w:spacing w:before="40" w:after="40"/>
        <w:ind w:left="432"/>
      </w:pPr>
      <w:r>
        <w:rPr>
          <w:rFonts w:ascii="Calibri" w:hAnsi="Calibri"/>
          <w:b w:val="0"/>
          <w:i w:val="0"/>
          <w:color w:val="1C2128"/>
          <w:sz w:val="22"/>
        </w:rPr>
        <w:t>After completing all six modules, the participant checks a final self-confirmation list and downloads a certificate of completion.</w:t>
      </w:r>
    </w:p>
    <w:p>
      <w:pPr>
        <w:spacing w:before="200" w:after="120"/>
      </w:pPr>
      <w:r>
        <w:rPr>
          <w:rFonts w:ascii="Calibri" w:hAnsi="Calibri"/>
          <w:b/>
          <w:i w:val="0"/>
          <w:color w:val="1C2128"/>
          <w:sz w:val="24"/>
        </w:rPr>
        <w:t>On arrival (program staff):</w:t>
      </w:r>
    </w:p>
    <w:p>
      <w:pPr>
        <w:pStyle w:val="ListBullet"/>
        <w:spacing w:before="40" w:after="40"/>
        <w:ind w:left="432"/>
      </w:pPr>
      <w:r>
        <w:rPr>
          <w:rFonts w:ascii="Calibri" w:hAnsi="Calibri"/>
          <w:b w:val="0"/>
          <w:i w:val="0"/>
          <w:color w:val="1C2128"/>
          <w:sz w:val="22"/>
        </w:rPr>
        <w:t>Collect certificates at check-in (printed or shown on phone).</w:t>
      </w:r>
    </w:p>
    <w:p>
      <w:pPr>
        <w:pStyle w:val="ListBullet"/>
        <w:spacing w:before="40" w:after="40"/>
        <w:ind w:left="432"/>
      </w:pPr>
      <w:r>
        <w:rPr>
          <w:rFonts w:ascii="Calibri" w:hAnsi="Calibri"/>
          <w:b w:val="0"/>
          <w:i w:val="0"/>
          <w:color w:val="1C2128"/>
          <w:sz w:val="22"/>
        </w:rPr>
        <w:t>Use the certificate as a gate: participants who did not complete the hub are noted and assigned catch-up work.</w:t>
      </w:r>
    </w:p>
    <w:p>
      <w:pPr>
        <w:spacing w:before="200" w:after="120"/>
      </w:pPr>
      <w:r>
        <w:rPr>
          <w:rFonts w:ascii="Calibri" w:hAnsi="Calibri"/>
          <w:b/>
          <w:i w:val="0"/>
          <w:color w:val="1C2128"/>
          <w:sz w:val="24"/>
        </w:rPr>
        <w:t>Week 1 (graduate student mentors):</w:t>
      </w:r>
    </w:p>
    <w:p>
      <w:pPr>
        <w:pStyle w:val="ListBullet"/>
        <w:spacing w:before="40" w:after="40"/>
        <w:ind w:left="432"/>
      </w:pPr>
      <w:r>
        <w:rPr>
          <w:rFonts w:ascii="Calibri" w:hAnsi="Calibri"/>
          <w:b w:val="0"/>
          <w:i w:val="0"/>
          <w:color w:val="1C2128"/>
          <w:sz w:val="22"/>
        </w:rPr>
        <w:t>Conduct a short, practical baseline assessment (pipetting, balance use, notebook entry, safety quiz) to confirm demonstrated competency.</w:t>
      </w:r>
    </w:p>
    <w:p>
      <w:pPr>
        <w:pStyle w:val="ListBullet"/>
        <w:spacing w:before="40" w:after="40"/>
        <w:ind w:left="432"/>
      </w:pPr>
      <w:r>
        <w:rPr>
          <w:rFonts w:ascii="Calibri" w:hAnsi="Calibri"/>
          <w:b w:val="0"/>
          <w:i w:val="0"/>
          <w:color w:val="1C2128"/>
          <w:sz w:val="22"/>
        </w:rPr>
        <w:t>This replaces the current remedial instruction model with a targeted, efficient verification model.</w:t>
      </w:r>
    </w:p>
    <w:p>
      <w:pPr>
        <w:pStyle w:val="ListBullet"/>
        <w:spacing w:before="40" w:after="40"/>
        <w:ind w:left="432"/>
      </w:pPr>
      <w:r>
        <w:rPr>
          <w:rFonts w:ascii="Calibri" w:hAnsi="Calibri"/>
          <w:b w:val="0"/>
          <w:i w:val="0"/>
          <w:color w:val="1C2128"/>
          <w:sz w:val="22"/>
        </w:rPr>
        <w:t>Proceed directly to lab-specific orientation and project introduction.</w:t>
      </w:r>
    </w:p>
    <w:p/>
    <w:p>
      <w:pPr>
        <w:spacing w:before="320" w:after="120"/>
        <w:pBdr>
          <w:bottom w:val="single" w:sz="6" w:space="1" w:color="005B5C"/>
        </w:pBdr>
      </w:pPr>
      <w:r>
        <w:rPr>
          <w:rFonts w:ascii="Calibri" w:hAnsi="Calibri"/>
          <w:b/>
          <w:i w:val="0"/>
          <w:color w:val="003D3E"/>
          <w:sz w:val="28"/>
        </w:rPr>
        <w:t>6. Learning Modules</w:t>
      </w:r>
    </w:p>
    <w:tbl>
      <w:tblPr>
        <w:tblStyle w:val="TableGrid"/>
        <w:tblW w:type="auto" w:w="0"/>
        <w:jc w:val="left"/>
        <w:tblLook w:firstColumn="1" w:firstRow="1" w:lastColumn="0" w:lastRow="0" w:noHBand="0" w:noVBand="1" w:val="04A0"/>
      </w:tblPr>
      <w:tblGrid>
        <w:gridCol w:w="2268"/>
        <w:gridCol w:w="2268"/>
        <w:gridCol w:w="2268"/>
        <w:gridCol w:w="2268"/>
      </w:tblGrid>
      <w:tr>
        <w:trPr>
          <w:trHeight w:val="400"/>
        </w:trPr>
        <w:tc>
          <w:tcPr>
            <w:tcW w:type="dxa" w:w="6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w:t>
            </w:r>
          </w:p>
        </w:tc>
        <w:tc>
          <w:tcPr>
            <w:tcW w:type="dxa" w:w="22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Title</w:t>
            </w:r>
          </w:p>
        </w:tc>
        <w:tc>
          <w:tcPr>
            <w:tcW w:type="dxa" w:w="50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Key Topics</w:t>
            </w:r>
          </w:p>
        </w:tc>
        <w:tc>
          <w:tcPr>
            <w:tcW w:type="dxa" w:w="12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Est. Time</w:t>
            </w:r>
          </w:p>
        </w:tc>
      </w:tr>
      <w:tr>
        <w:tc>
          <w:tcPr>
            <w:tcW w:type="dxa" w:w="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1</w:t>
            </w:r>
          </w:p>
        </w:tc>
        <w:tc>
          <w:tcPr>
            <w:tcW w:type="dxa" w:w="2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Lab Safety &amp; Onboarding</w:t>
            </w:r>
          </w:p>
        </w:tc>
        <w:tc>
          <w:tcPr>
            <w:tcW w:type="dxa" w:w="5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PPE, chemical safety, emergencies, lab etiquette, SDS</w:t>
            </w:r>
          </w:p>
        </w:tc>
        <w:tc>
          <w:tcPr>
            <w:tcW w:type="dxa" w:w="1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45–60 min</w:t>
            </w:r>
          </w:p>
        </w:tc>
      </w:tr>
      <w:tr>
        <w:tc>
          <w:tcPr>
            <w:tcW w:type="dxa" w:w="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2</w:t>
            </w:r>
          </w:p>
        </w:tc>
        <w:tc>
          <w:tcPr>
            <w:tcW w:type="dxa" w:w="22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Core Wet-Lab Skills</w:t>
            </w:r>
          </w:p>
        </w:tc>
        <w:tc>
          <w:tcPr>
            <w:tcW w:type="dxa" w:w="5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Micropipette technique, dilutions, weighing, glassware</w:t>
            </w:r>
          </w:p>
        </w:tc>
        <w:tc>
          <w:tcPr>
            <w:tcW w:type="dxa" w:w="12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45–60 min</w:t>
            </w:r>
          </w:p>
        </w:tc>
      </w:tr>
      <w:tr>
        <w:tc>
          <w:tcPr>
            <w:tcW w:type="dxa" w:w="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3</w:t>
            </w:r>
          </w:p>
        </w:tc>
        <w:tc>
          <w:tcPr>
            <w:tcW w:type="dxa" w:w="2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Lab Notebook &amp; Documentation</w:t>
            </w:r>
          </w:p>
        </w:tc>
        <w:tc>
          <w:tcPr>
            <w:tcW w:type="dxa" w:w="5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Entry format, raw data recording, corrections, reproducibility</w:t>
            </w:r>
          </w:p>
        </w:tc>
        <w:tc>
          <w:tcPr>
            <w:tcW w:type="dxa" w:w="1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30–45 min</w:t>
            </w:r>
          </w:p>
        </w:tc>
      </w:tr>
      <w:tr>
        <w:tc>
          <w:tcPr>
            <w:tcW w:type="dxa" w:w="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4</w:t>
            </w:r>
          </w:p>
        </w:tc>
        <w:tc>
          <w:tcPr>
            <w:tcW w:type="dxa" w:w="22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Instrumentation Basics</w:t>
            </w:r>
          </w:p>
        </w:tc>
        <w:tc>
          <w:tcPr>
            <w:tcW w:type="dxa" w:w="5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Analytical balance, pH meter, spectrophotometer, centrifuge</w:t>
            </w:r>
          </w:p>
        </w:tc>
        <w:tc>
          <w:tcPr>
            <w:tcW w:type="dxa" w:w="12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30–45 min</w:t>
            </w:r>
          </w:p>
        </w:tc>
      </w:tr>
      <w:tr>
        <w:tc>
          <w:tcPr>
            <w:tcW w:type="dxa" w:w="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5</w:t>
            </w:r>
          </w:p>
        </w:tc>
        <w:tc>
          <w:tcPr>
            <w:tcW w:type="dxa" w:w="2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Data Analysis with Excel</w:t>
            </w:r>
          </w:p>
        </w:tc>
        <w:tc>
          <w:tcPr>
            <w:tcW w:type="dxa" w:w="5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Data entry, AVERAGE/STDEV formulas, scatter plots, axis labeling</w:t>
            </w:r>
          </w:p>
        </w:tc>
        <w:tc>
          <w:tcPr>
            <w:tcW w:type="dxa" w:w="1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45–60 min</w:t>
            </w:r>
          </w:p>
        </w:tc>
      </w:tr>
      <w:tr>
        <w:tc>
          <w:tcPr>
            <w:tcW w:type="dxa" w:w="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6</w:t>
            </w:r>
          </w:p>
        </w:tc>
        <w:tc>
          <w:tcPr>
            <w:tcW w:type="dxa" w:w="22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Intro to CASFER Science</w:t>
            </w:r>
          </w:p>
        </w:tc>
        <w:tc>
          <w:tcPr>
            <w:tcW w:type="dxa" w:w="5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The nitrogen problem, Haber-Bosch, CASFER mission and approach</w:t>
            </w:r>
          </w:p>
        </w:tc>
        <w:tc>
          <w:tcPr>
            <w:tcW w:type="dxa" w:w="12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30–45 min</w:t>
            </w:r>
          </w:p>
        </w:tc>
      </w:tr>
    </w:tbl>
    <w:p/>
    <w:p>
      <w:pPr>
        <w:spacing w:before="0" w:after="120"/>
      </w:pPr>
      <w:r>
        <w:rPr>
          <w:rFonts w:ascii="Calibri" w:hAnsi="Calibri"/>
          <w:b w:val="0"/>
          <w:i w:val="0"/>
          <w:color w:val="1C2128"/>
          <w:sz w:val="22"/>
        </w:rPr>
        <w:t>Total estimated time: 3–4 hours (self-paced; can be spread over multiple sessions).</w:t>
      </w:r>
    </w:p>
    <w:p>
      <w:pPr>
        <w:spacing w:before="320" w:after="120"/>
        <w:pBdr>
          <w:bottom w:val="single" w:sz="6" w:space="1" w:color="005B5C"/>
        </w:pBdr>
      </w:pPr>
      <w:r>
        <w:rPr>
          <w:rFonts w:ascii="Calibri" w:hAnsi="Calibri"/>
          <w:b/>
          <w:i w:val="0"/>
          <w:color w:val="003D3E"/>
          <w:sz w:val="28"/>
        </w:rPr>
        <w:t>7. Implementation Timeline</w:t>
      </w:r>
    </w:p>
    <w:tbl>
      <w:tblPr>
        <w:tblStyle w:val="TableGrid"/>
        <w:tblW w:type="auto" w:w="0"/>
        <w:jc w:val="left"/>
        <w:tblLook w:firstColumn="1" w:firstRow="1" w:lastColumn="0" w:lastRow="0" w:noHBand="0" w:noVBand="1" w:val="04A0"/>
      </w:tblPr>
      <w:tblGrid>
        <w:gridCol w:w="3024"/>
        <w:gridCol w:w="3024"/>
        <w:gridCol w:w="3024"/>
      </w:tblGrid>
      <w:tr>
        <w:trPr>
          <w:trHeight w:val="400"/>
        </w:trPr>
        <w:tc>
          <w:tcPr>
            <w:tcW w:type="dxa" w:w="20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Phase</w:t>
            </w:r>
          </w:p>
        </w:tc>
        <w:tc>
          <w:tcPr>
            <w:tcW w:type="dxa" w:w="55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Activities</w:t>
            </w:r>
          </w:p>
        </w:tc>
        <w:tc>
          <w:tcPr>
            <w:tcW w:type="dxa" w:w="25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Target</w:t>
            </w:r>
          </w:p>
        </w:tc>
      </w:tr>
      <w:tr>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Phase 1 — Build</w:t>
            </w:r>
          </w:p>
        </w:tc>
        <w:tc>
          <w:tcPr>
            <w:tcW w:type="dxa" w:w="5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Create hub website; populate placeholder content structure</w:t>
            </w:r>
          </w:p>
        </w:tc>
        <w:tc>
          <w:tcPr>
            <w:tcW w:type="dxa" w:w="2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Complete (this document)</w:t>
            </w:r>
          </w:p>
        </w:tc>
      </w:tr>
      <w:tr>
        <w:tc>
          <w:tcPr>
            <w:tcW w:type="dxa" w:w="2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Phase 2 — Content</w:t>
            </w:r>
          </w:p>
        </w:tc>
        <w:tc>
          <w:tcPr>
            <w:tcW w:type="dxa" w:w="5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Replace all placeholder videos; write or upload lab-specific guides and PDF checklists</w:t>
            </w:r>
          </w:p>
        </w:tc>
        <w:tc>
          <w:tcPr>
            <w:tcW w:type="dxa" w:w="2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6 weeks before program start</w:t>
            </w:r>
          </w:p>
        </w:tc>
      </w:tr>
      <w:tr>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Phase 3 — Review</w:t>
            </w:r>
          </w:p>
        </w:tc>
        <w:tc>
          <w:tcPr>
            <w:tcW w:type="dxa" w:w="5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Faculty and graduate student review of all module content for accuracy; IRB/legal check if needed</w:t>
            </w:r>
          </w:p>
        </w:tc>
        <w:tc>
          <w:tcPr>
            <w:tcW w:type="dxa" w:w="2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4 weeks before program start</w:t>
            </w:r>
          </w:p>
        </w:tc>
      </w:tr>
      <w:tr>
        <w:tc>
          <w:tcPr>
            <w:tcW w:type="dxa" w:w="2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Phase 4 — Pilot</w:t>
            </w:r>
          </w:p>
        </w:tc>
        <w:tc>
          <w:tcPr>
            <w:tcW w:type="dxa" w:w="5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Send hub to 2–3 returning REU students or lab members for usability feedback; revise</w:t>
            </w:r>
          </w:p>
        </w:tc>
        <w:tc>
          <w:tcPr>
            <w:tcW w:type="dxa" w:w="2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3 weeks before program start</w:t>
            </w:r>
          </w:p>
        </w:tc>
      </w:tr>
      <w:tr>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Phase 5 — Launch</w:t>
            </w:r>
          </w:p>
        </w:tc>
        <w:tc>
          <w:tcPr>
            <w:tcW w:type="dxa" w:w="5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Send hub link in pre-arrival email to all incoming participants</w:t>
            </w:r>
          </w:p>
        </w:tc>
        <w:tc>
          <w:tcPr>
            <w:tcW w:type="dxa" w:w="2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1 week before program start</w:t>
            </w:r>
          </w:p>
        </w:tc>
      </w:tr>
      <w:tr>
        <w:tc>
          <w:tcPr>
            <w:tcW w:type="dxa" w:w="2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Phase 6 — Verify</w:t>
            </w:r>
          </w:p>
        </w:tc>
        <w:tc>
          <w:tcPr>
            <w:tcW w:type="dxa" w:w="5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Collect certificates at check-in; conduct Week 1 practical baseline assessment</w:t>
            </w:r>
          </w:p>
        </w:tc>
        <w:tc>
          <w:tcPr>
            <w:tcW w:type="dxa" w:w="2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Program Week 1</w:t>
            </w:r>
          </w:p>
        </w:tc>
      </w:tr>
      <w:tr>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Phase 7 — Debrief</w:t>
            </w:r>
          </w:p>
        </w:tc>
        <w:tc>
          <w:tcPr>
            <w:tcW w:type="dxa" w:w="5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Survey participants and mentors; document what to change for next year</w:t>
            </w:r>
          </w:p>
        </w:tc>
        <w:tc>
          <w:tcPr>
            <w:tcW w:type="dxa" w:w="2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End of program</w:t>
            </w:r>
          </w:p>
        </w:tc>
      </w:tr>
    </w:tbl>
    <w:p/>
    <w:p>
      <w:pPr>
        <w:spacing w:before="320" w:after="120"/>
        <w:pBdr>
          <w:bottom w:val="single" w:sz="6" w:space="1" w:color="005B5C"/>
        </w:pBdr>
      </w:pPr>
      <w:r>
        <w:rPr>
          <w:rFonts w:ascii="Calibri" w:hAnsi="Calibri"/>
          <w:b/>
          <w:i w:val="0"/>
          <w:color w:val="003D3E"/>
          <w:sz w:val="28"/>
        </w:rPr>
        <w:t>8. Success Metrics</w:t>
      </w:r>
    </w:p>
    <w:p>
      <w:pPr>
        <w:spacing w:before="0" w:after="120"/>
      </w:pPr>
      <w:r>
        <w:rPr>
          <w:rFonts w:ascii="Calibri" w:hAnsi="Calibri"/>
          <w:b w:val="0"/>
          <w:i w:val="0"/>
          <w:color w:val="1C2128"/>
          <w:sz w:val="22"/>
        </w:rPr>
        <w:t>The following metrics should be measured at the end of the first program using the hub and compared to the previous year as a baseline.</w:t>
      </w:r>
    </w:p>
    <w:tbl>
      <w:tblPr>
        <w:tblStyle w:val="TableGrid"/>
        <w:tblW w:type="auto" w:w="0"/>
        <w:jc w:val="left"/>
        <w:tblLook w:firstColumn="1" w:firstRow="1" w:lastColumn="0" w:lastRow="0" w:noHBand="0" w:noVBand="1" w:val="04A0"/>
      </w:tblPr>
      <w:tblGrid>
        <w:gridCol w:w="3024"/>
        <w:gridCol w:w="3024"/>
        <w:gridCol w:w="3024"/>
      </w:tblGrid>
      <w:tr>
        <w:trPr>
          <w:trHeight w:val="400"/>
        </w:trPr>
        <w:tc>
          <w:tcPr>
            <w:tcW w:type="dxa" w:w="25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Metric</w:t>
            </w:r>
          </w:p>
        </w:tc>
        <w:tc>
          <w:tcPr>
            <w:tcW w:type="dxa" w:w="45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How to Measure</w:t>
            </w:r>
          </w:p>
        </w:tc>
        <w:tc>
          <w:tcPr>
            <w:tcW w:type="dxa" w:w="20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Target</w:t>
            </w:r>
          </w:p>
        </w:tc>
      </w:tr>
      <w:tr>
        <w:tc>
          <w:tcPr>
            <w:tcW w:type="dxa" w:w="2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Pre-arrival completion rate</w:t>
            </w:r>
          </w:p>
        </w:tc>
        <w:tc>
          <w:tcPr>
            <w:tcW w:type="dxa" w:w="4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Certificates collected at check-in ÷ total participants</w:t>
            </w:r>
          </w:p>
        </w:tc>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 85%</w:t>
            </w:r>
          </w:p>
        </w:tc>
      </w:tr>
      <w:tr>
        <w:tc>
          <w:tcPr>
            <w:tcW w:type="dxa" w:w="2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Week 1 baseline pass rate</w:t>
            </w:r>
          </w:p>
        </w:tc>
        <w:tc>
          <w:tcPr>
            <w:tcW w:type="dxa" w:w="4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Participants who pass the in-person skills check on first attempt</w:t>
            </w:r>
          </w:p>
        </w:tc>
        <w:tc>
          <w:tcPr>
            <w:tcW w:type="dxa" w:w="2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 75%</w:t>
            </w:r>
          </w:p>
        </w:tc>
      </w:tr>
      <w:tr>
        <w:tc>
          <w:tcPr>
            <w:tcW w:type="dxa" w:w="2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Reduction in mentor onboarding time</w:t>
            </w:r>
          </w:p>
        </w:tc>
        <w:tc>
          <w:tcPr>
            <w:tcW w:type="dxa" w:w="4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Graduate student survey: "How many hours on basic skills training in Week 1?"</w:t>
            </w:r>
          </w:p>
        </w:tc>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 50% reduction vs. prior year</w:t>
            </w:r>
          </w:p>
        </w:tc>
      </w:tr>
      <w:tr>
        <w:tc>
          <w:tcPr>
            <w:tcW w:type="dxa" w:w="2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Participant confidence at arrival</w:t>
            </w:r>
          </w:p>
        </w:tc>
        <w:tc>
          <w:tcPr>
            <w:tcW w:type="dxa" w:w="4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Pre-program survey: self-rated readiness (1–5 scale) vs. previous cohorts</w:t>
            </w:r>
          </w:p>
        </w:tc>
        <w:tc>
          <w:tcPr>
            <w:tcW w:type="dxa" w:w="2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Mean ≥ 3.8 / 5</w:t>
            </w:r>
          </w:p>
        </w:tc>
      </w:tr>
      <w:tr>
        <w:tc>
          <w:tcPr>
            <w:tcW w:type="dxa" w:w="2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Quiz pass rates</w:t>
            </w:r>
          </w:p>
        </w:tc>
        <w:tc>
          <w:tcPr>
            <w:tcW w:type="dxa" w:w="45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Review quiz completion data for each module</w:t>
            </w:r>
          </w:p>
        </w:tc>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 80% pass on first attempt</w:t>
            </w:r>
          </w:p>
        </w:tc>
      </w:tr>
      <w:tr>
        <w:tc>
          <w:tcPr>
            <w:tcW w:type="dxa" w:w="2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Graduate student satisfaction</w:t>
            </w:r>
          </w:p>
        </w:tc>
        <w:tc>
          <w:tcPr>
            <w:tcW w:type="dxa" w:w="45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End-of-program survey: "Did the hub reduce your onboarding burden?"</w:t>
            </w:r>
          </w:p>
        </w:tc>
        <w:tc>
          <w:tcPr>
            <w:tcW w:type="dxa" w:w="2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 80% agree / strongly agree</w:t>
            </w:r>
          </w:p>
        </w:tc>
      </w:tr>
    </w:tbl>
    <w:p/>
    <w:p>
      <w:pPr>
        <w:spacing w:before="320" w:after="120"/>
        <w:pBdr>
          <w:bottom w:val="single" w:sz="6" w:space="1" w:color="005B5C"/>
        </w:pBdr>
      </w:pPr>
      <w:r>
        <w:rPr>
          <w:rFonts w:ascii="Calibri" w:hAnsi="Calibri"/>
          <w:b/>
          <w:i w:val="0"/>
          <w:color w:val="003D3E"/>
          <w:sz w:val="28"/>
        </w:rPr>
        <w:t>9. Required Resources</w:t>
      </w:r>
    </w:p>
    <w:tbl>
      <w:tblPr>
        <w:tblStyle w:val="TableGrid"/>
        <w:tblW w:type="auto" w:w="0"/>
        <w:jc w:val="left"/>
        <w:tblLook w:firstColumn="1" w:firstRow="1" w:lastColumn="0" w:lastRow="0" w:noHBand="0" w:noVBand="1" w:val="04A0"/>
      </w:tblPr>
      <w:tblGrid>
        <w:gridCol w:w="3024"/>
        <w:gridCol w:w="3024"/>
        <w:gridCol w:w="3024"/>
      </w:tblGrid>
      <w:tr>
        <w:trPr>
          <w:trHeight w:val="400"/>
        </w:trPr>
        <w:tc>
          <w:tcPr>
            <w:tcW w:type="dxa" w:w="20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Resource</w:t>
            </w:r>
          </w:p>
        </w:tc>
        <w:tc>
          <w:tcPr>
            <w:tcW w:type="dxa" w:w="48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Description</w:t>
            </w:r>
          </w:p>
        </w:tc>
        <w:tc>
          <w:tcPr>
            <w:tcW w:type="dxa" w:w="22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Estimated Effort</w:t>
            </w:r>
          </w:p>
        </w:tc>
      </w:tr>
      <w:tr>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Content curation</w:t>
            </w:r>
          </w:p>
        </w:tc>
        <w:tc>
          <w:tcPr>
            <w:tcW w:type="dxa" w:w="48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Identify and link curated YouTube videos for each module; write or adapt lab-specific guides</w:t>
            </w:r>
          </w:p>
        </w:tc>
        <w:tc>
          <w:tcPr>
            <w:tcW w:type="dxa" w:w="2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8–12 hrs (coordinator + 1 grad student)</w:t>
            </w:r>
          </w:p>
        </w:tc>
      </w:tr>
      <w:tr>
        <w:tc>
          <w:tcPr>
            <w:tcW w:type="dxa" w:w="2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PDF / checklist prep</w:t>
            </w:r>
          </w:p>
        </w:tc>
        <w:tc>
          <w:tcPr>
            <w:tcW w:type="dxa" w:w="48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Prepare downloadable lab safety checklist, dilution worksheet, and notebook template</w:t>
            </w:r>
          </w:p>
        </w:tc>
        <w:tc>
          <w:tcPr>
            <w:tcW w:type="dxa" w:w="22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4–6 hrs</w:t>
            </w:r>
          </w:p>
        </w:tc>
      </w:tr>
      <w:tr>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Faculty review</w:t>
            </w:r>
          </w:p>
        </w:tc>
        <w:tc>
          <w:tcPr>
            <w:tcW w:type="dxa" w:w="48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Review all module content for technical accuracy and CASFER-specific relevance</w:t>
            </w:r>
          </w:p>
        </w:tc>
        <w:tc>
          <w:tcPr>
            <w:tcW w:type="dxa" w:w="2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2–3 hrs (1–2 faculty)</w:t>
            </w:r>
          </w:p>
        </w:tc>
      </w:tr>
      <w:tr>
        <w:tc>
          <w:tcPr>
            <w:tcW w:type="dxa" w:w="20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Hosting</w:t>
            </w:r>
          </w:p>
        </w:tc>
        <w:tc>
          <w:tcPr>
            <w:tcW w:type="dxa" w:w="48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GitHub Pages (free) — requires a GitHub account and a one-time ~15-minute setup</w:t>
            </w:r>
          </w:p>
        </w:tc>
        <w:tc>
          <w:tcPr>
            <w:tcW w:type="dxa" w:w="22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Minimal</w:t>
            </w:r>
          </w:p>
        </w:tc>
      </w:tr>
      <w:tr>
        <w:tc>
          <w:tcPr>
            <w:tcW w:type="dxa" w:w="20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Annual maintenance</w:t>
            </w:r>
          </w:p>
        </w:tc>
        <w:tc>
          <w:tcPr>
            <w:tcW w:type="dxa" w:w="48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Update year, review video links, revise quiz content based on prior-year feedback</w:t>
            </w:r>
          </w:p>
        </w:tc>
        <w:tc>
          <w:tcPr>
            <w:tcW w:type="dxa" w:w="22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2–3 hrs / year</w:t>
            </w:r>
          </w:p>
        </w:tc>
      </w:tr>
    </w:tbl>
    <w:p/>
    <w:p>
      <w:pPr>
        <w:spacing w:before="320" w:after="120"/>
        <w:pBdr>
          <w:bottom w:val="single" w:sz="6" w:space="1" w:color="005B5C"/>
        </w:pBdr>
      </w:pPr>
      <w:r>
        <w:rPr>
          <w:rFonts w:ascii="Calibri" w:hAnsi="Calibri"/>
          <w:b/>
          <w:i w:val="0"/>
          <w:color w:val="003D3E"/>
          <w:sz w:val="28"/>
        </w:rPr>
        <w:t>10. Risks and Mitigations</w:t>
      </w:r>
    </w:p>
    <w:tbl>
      <w:tblPr>
        <w:tblStyle w:val="TableGrid"/>
        <w:tblW w:type="auto" w:w="0"/>
        <w:jc w:val="left"/>
        <w:tblLook w:firstColumn="1" w:firstRow="1" w:lastColumn="0" w:lastRow="0" w:noHBand="0" w:noVBand="1" w:val="04A0"/>
      </w:tblPr>
      <w:tblGrid>
        <w:gridCol w:w="2268"/>
        <w:gridCol w:w="2268"/>
        <w:gridCol w:w="2268"/>
        <w:gridCol w:w="2268"/>
      </w:tblGrid>
      <w:tr>
        <w:trPr>
          <w:trHeight w:val="400"/>
        </w:trPr>
        <w:tc>
          <w:tcPr>
            <w:tcW w:type="dxa" w:w="26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Risk</w:t>
            </w:r>
          </w:p>
        </w:tc>
        <w:tc>
          <w:tcPr>
            <w:tcW w:type="dxa" w:w="9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Likelihood</w:t>
            </w:r>
          </w:p>
        </w:tc>
        <w:tc>
          <w:tcPr>
            <w:tcW w:type="dxa" w:w="9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Impact</w:t>
            </w:r>
          </w:p>
        </w:tc>
        <w:tc>
          <w:tcPr>
            <w:tcW w:type="dxa" w:w="4600"/>
            <w:shd w:val="clear" w:color="auto" w:fill="005B5C"/>
            <w:tcBorders>
              <w:top w:val="single" w:sz="4" w:space="0" w:color="005B5C"/>
              <w:left w:val="single" w:sz="4" w:space="0" w:color="005B5C"/>
              <w:bottom w:val="single" w:sz="4" w:space="0" w:color="005B5C"/>
              <w:right w:val="single" w:sz="4" w:space="0" w:color="005B5C"/>
            </w:tcBorders>
            <w:vAlign w:val="center"/>
          </w:tcPr>
          <w:p>
            <w:pPr>
              <w:spacing w:before="80" w:after="80"/>
              <w:ind w:left="120"/>
            </w:pPr>
            <w:r>
              <w:rPr>
                <w:rFonts w:ascii="Calibri" w:hAnsi="Calibri"/>
                <w:b/>
                <w:i w:val="0"/>
                <w:color w:val="FFFFFF"/>
                <w:sz w:val="20"/>
              </w:rPr>
              <w:t>Mitigation</w:t>
            </w:r>
          </w:p>
        </w:tc>
      </w:tr>
      <w:tr>
        <w:tc>
          <w:tcPr>
            <w:tcW w:type="dxa" w:w="2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Low pre-arrival completion rate</w:t>
            </w:r>
          </w:p>
        </w:tc>
        <w:tc>
          <w:tcPr>
            <w:tcW w:type="dxa" w:w="9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Medium</w:t>
            </w:r>
          </w:p>
        </w:tc>
        <w:tc>
          <w:tcPr>
            <w:tcW w:type="dxa" w:w="9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High</w:t>
            </w:r>
          </w:p>
        </w:tc>
        <w:tc>
          <w:tcPr>
            <w:tcW w:type="dxa" w:w="4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Send reminder emails; frame certificate as required for Day 1 check-in; follow up with non-completers</w:t>
            </w:r>
          </w:p>
        </w:tc>
      </w:tr>
      <w:tr>
        <w:tc>
          <w:tcPr>
            <w:tcW w:type="dxa" w:w="2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Participants click through without engaging</w:t>
            </w:r>
          </w:p>
        </w:tc>
        <w:tc>
          <w:tcPr>
            <w:tcW w:type="dxa" w:w="9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Medium</w:t>
            </w:r>
          </w:p>
        </w:tc>
        <w:tc>
          <w:tcPr>
            <w:tcW w:type="dxa" w:w="9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Medium</w:t>
            </w:r>
          </w:p>
        </w:tc>
        <w:tc>
          <w:tcPr>
            <w:tcW w:type="dxa" w:w="4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Quiz questions require recall; practical Week 1 assessment confirms genuine learning</w:t>
            </w:r>
          </w:p>
        </w:tc>
      </w:tr>
      <w:tr>
        <w:tc>
          <w:tcPr>
            <w:tcW w:type="dxa" w:w="2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Video links become outdated or removed</w:t>
            </w:r>
          </w:p>
        </w:tc>
        <w:tc>
          <w:tcPr>
            <w:tcW w:type="dxa" w:w="9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High</w:t>
              <w:br/>
              <w:t>(over time)</w:t>
            </w:r>
          </w:p>
        </w:tc>
        <w:tc>
          <w:tcPr>
            <w:tcW w:type="dxa" w:w="9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Low–Medium</w:t>
            </w:r>
          </w:p>
        </w:tc>
        <w:tc>
          <w:tcPr>
            <w:tcW w:type="dxa" w:w="4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Review all links at start of each program year; link is easy to update in content.js</w:t>
            </w:r>
          </w:p>
        </w:tc>
      </w:tr>
      <w:tr>
        <w:tc>
          <w:tcPr>
            <w:tcW w:type="dxa" w:w="2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Content too generic / not lab-specific</w:t>
            </w:r>
          </w:p>
        </w:tc>
        <w:tc>
          <w:tcPr>
            <w:tcW w:type="dxa" w:w="9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Medium</w:t>
            </w:r>
          </w:p>
        </w:tc>
        <w:tc>
          <w:tcPr>
            <w:tcW w:type="dxa" w:w="9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Medium</w:t>
            </w:r>
          </w:p>
        </w:tc>
        <w:tc>
          <w:tcPr>
            <w:tcW w:type="dxa" w:w="4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Phase 2 content work adds lab-specific guides; generic content is still better than zero prep</w:t>
            </w:r>
          </w:p>
        </w:tc>
      </w:tr>
      <w:tr>
        <w:tc>
          <w:tcPr>
            <w:tcW w:type="dxa" w:w="2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Technology access issues</w:t>
            </w:r>
          </w:p>
        </w:tc>
        <w:tc>
          <w:tcPr>
            <w:tcW w:type="dxa" w:w="9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Low</w:t>
            </w:r>
          </w:p>
        </w:tc>
        <w:tc>
          <w:tcPr>
            <w:tcW w:type="dxa" w:w="9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Medium</w:t>
            </w:r>
          </w:p>
        </w:tc>
        <w:tc>
          <w:tcPr>
            <w:tcW w:type="dxa" w:w="4600"/>
            <w:shd w:val="clear" w:color="auto" w:fill="E0F4F4"/>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Hub works on any modern browser including mobile; no app or download required</w:t>
            </w:r>
          </w:p>
        </w:tc>
      </w:tr>
      <w:tr>
        <w:tc>
          <w:tcPr>
            <w:tcW w:type="dxa" w:w="2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Scope creep into full LMS system</w:t>
            </w:r>
          </w:p>
        </w:tc>
        <w:tc>
          <w:tcPr>
            <w:tcW w:type="dxa" w:w="9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Low</w:t>
            </w:r>
          </w:p>
        </w:tc>
        <w:tc>
          <w:tcPr>
            <w:tcW w:type="dxa" w:w="9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Medium</w:t>
            </w:r>
          </w:p>
        </w:tc>
        <w:tc>
          <w:tcPr>
            <w:tcW w:type="dxa" w:w="4600"/>
            <w:shd w:val="clear" w:color="auto" w:fill="FFFFFF"/>
            <w:tcBorders>
              <w:top w:val="single" w:sz="4" w:space="0" w:color="B0D0D0"/>
              <w:left w:val="single" w:sz="4" w:space="0" w:color="B0D0D0"/>
              <w:bottom w:val="single" w:sz="4" w:space="0" w:color="B0D0D0"/>
              <w:right w:val="single" w:sz="4" w:space="0" w:color="B0D0D0"/>
            </w:tcBorders>
            <w:vAlign w:val="top"/>
          </w:tcPr>
          <w:p>
            <w:pPr>
              <w:spacing w:before="80" w:after="80"/>
              <w:ind w:left="120"/>
            </w:pPr>
            <w:r>
              <w:rPr>
                <w:rFonts w:ascii="Calibri" w:hAnsi="Calibri"/>
                <w:b w:val="0"/>
                <w:i w:val="0"/>
                <w:color w:val="1C2128"/>
                <w:sz w:val="20"/>
              </w:rPr>
              <w:t>Hub reviews concepts only; formal EHS training remains in-person — boundary is stated on certificate</w:t>
            </w:r>
          </w:p>
        </w:tc>
      </w:tr>
    </w:tbl>
    <w:p/>
    <w:p>
      <w:pPr>
        <w:spacing w:before="320" w:after="120"/>
        <w:pBdr>
          <w:bottom w:val="single" w:sz="6" w:space="1" w:color="005B5C"/>
        </w:pBdr>
      </w:pPr>
      <w:r>
        <w:rPr>
          <w:rFonts w:ascii="Calibri" w:hAnsi="Calibri"/>
          <w:b/>
          <w:i w:val="0"/>
          <w:color w:val="003D3E"/>
          <w:sz w:val="28"/>
        </w:rPr>
        <w:t>11. Contact and Next Steps</w:t>
      </w:r>
    </w:p>
    <w:p>
      <w:r>
        <w:rPr>
          <w:rFonts w:ascii="Calibri" w:hAnsi="Calibri"/>
          <w:b/>
          <w:i w:val="0"/>
          <w:color w:val="005B5C"/>
          <w:sz w:val="22"/>
        </w:rPr>
        <w:t xml:space="preserve">Program Coordinator: </w:t>
      </w:r>
      <w:r>
        <w:rPr>
          <w:rFonts w:ascii="Calibri" w:hAnsi="Calibri"/>
          <w:b w:val="0"/>
          <w:i w:val="0"/>
          <w:color w:val="1C2128"/>
          <w:sz w:val="22"/>
        </w:rPr>
        <w:t>CASFER Program Office — casfer@ttu.edu</w:t>
      </w:r>
    </w:p>
    <w:p>
      <w:pPr>
        <w:spacing w:before="0" w:after="120"/>
      </w:pPr>
      <w:r>
        <w:rPr>
          <w:rFonts w:ascii="Calibri" w:hAnsi="Calibri"/>
          <w:b w:val="0"/>
          <w:i w:val="0"/>
          <w:color w:val="1C2128"/>
          <w:sz w:val="22"/>
        </w:rPr>
        <w:t>Suggested immediate next steps:</w:t>
      </w:r>
    </w:p>
    <w:p>
      <w:pPr>
        <w:pStyle w:val="ListNumber"/>
        <w:spacing w:before="40" w:after="40"/>
        <w:ind w:left="432"/>
      </w:pPr>
      <w:r>
        <w:rPr>
          <w:rFonts w:ascii="Calibri" w:hAnsi="Calibri"/>
          <w:b w:val="0"/>
          <w:i w:val="0"/>
          <w:color w:val="1C2128"/>
          <w:sz w:val="22"/>
        </w:rPr>
        <w:t>Review this project plan with the CASFER faculty director and REU/RET program lead.</w:t>
      </w:r>
    </w:p>
    <w:p>
      <w:pPr>
        <w:pStyle w:val="ListNumber"/>
        <w:spacing w:before="40" w:after="40"/>
        <w:ind w:left="432"/>
      </w:pPr>
      <w:r>
        <w:rPr>
          <w:rFonts w:ascii="Calibri" w:hAnsi="Calibri"/>
          <w:b w:val="0"/>
          <w:i w:val="0"/>
          <w:color w:val="1C2128"/>
          <w:sz w:val="22"/>
        </w:rPr>
        <w:t>Assign one graduate student to lead content curation for Phases 2–3.</w:t>
      </w:r>
    </w:p>
    <w:p>
      <w:pPr>
        <w:pStyle w:val="ListNumber"/>
        <w:spacing w:before="40" w:after="40"/>
        <w:ind w:left="432"/>
      </w:pPr>
      <w:r>
        <w:rPr>
          <w:rFonts w:ascii="Calibri" w:hAnsi="Calibri"/>
          <w:b w:val="0"/>
          <w:i w:val="0"/>
          <w:color w:val="1C2128"/>
          <w:sz w:val="22"/>
        </w:rPr>
        <w:t>Identify 2–3 pilot testers from the current lab cohort for Phase 4.</w:t>
      </w:r>
    </w:p>
    <w:p>
      <w:pPr>
        <w:pStyle w:val="ListNumber"/>
        <w:spacing w:before="40" w:after="40"/>
        <w:ind w:left="432"/>
      </w:pPr>
      <w:r>
        <w:rPr>
          <w:rFonts w:ascii="Calibri" w:hAnsi="Calibri"/>
          <w:b w:val="0"/>
          <w:i w:val="0"/>
          <w:color w:val="1C2128"/>
          <w:sz w:val="22"/>
        </w:rPr>
        <w:t>Set the pre-arrival email send date and coordinate with the existing participant communication timeline.</w:t>
      </w:r>
    </w:p>
    <w:p/>
    <w:p>
      <w:pPr>
        <w:pBdr>
          <w:bottom w:val="single" w:sz="6" w:space="1" w:color="C41230"/>
        </w:pBdr>
        <w:spacing w:before="0" w:after="80"/>
      </w:pPr>
    </w:p>
    <w:p>
      <w:pPr>
        <w:spacing w:before="120"/>
      </w:pPr>
      <w:r>
        <w:rPr>
          <w:rFonts w:ascii="Calibri" w:hAnsi="Calibri"/>
          <w:b w:val="0"/>
          <w:i/>
          <w:color w:val="45556A"/>
          <w:sz w:val="18"/>
        </w:rPr>
        <w:t>This project plan was prepared as part of the CASFER Leadership Program. The Pre-Arrival Learning Hub is a static website hosted free on GitHub Pages. All content is managed in a single editable file (content.js). Technical questions or content update requests can be handled by Claude Code.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