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9A5E9" w14:textId="77777777" w:rsidR="00247C08" w:rsidRPr="00DF71FB" w:rsidRDefault="00247C08" w:rsidP="005D03BF">
      <w:pPr>
        <w:pStyle w:val="Encabezado"/>
        <w:jc w:val="center"/>
        <w:rPr>
          <w:rFonts w:ascii="Arial" w:hAnsi="Arial" w:cs="Arial"/>
          <w:b/>
          <w:bCs/>
        </w:rPr>
      </w:pPr>
    </w:p>
    <w:p w14:paraId="60F0C529" w14:textId="6D505E2C" w:rsidR="005A19F3" w:rsidRPr="00DF71FB" w:rsidRDefault="005A19F3" w:rsidP="005D03BF">
      <w:pPr>
        <w:pStyle w:val="Encabezado"/>
        <w:jc w:val="center"/>
        <w:rPr>
          <w:rFonts w:ascii="Arial" w:hAnsi="Arial" w:cs="Arial"/>
          <w:b/>
          <w:bCs/>
          <w:sz w:val="28"/>
          <w:szCs w:val="28"/>
        </w:rPr>
      </w:pPr>
      <w:r w:rsidRPr="00DF71FB">
        <w:rPr>
          <w:rFonts w:ascii="Arial" w:hAnsi="Arial" w:cs="Arial"/>
          <w:b/>
          <w:bCs/>
          <w:sz w:val="28"/>
          <w:szCs w:val="28"/>
        </w:rPr>
        <w:t>INFORME PRESTADORES DE SERVICIOS DE SALUD</w:t>
      </w:r>
    </w:p>
    <w:p w14:paraId="15DFB958" w14:textId="77777777" w:rsidR="00EB342E" w:rsidRPr="00DF71FB" w:rsidRDefault="00EB342E" w:rsidP="005D03BF">
      <w:pPr>
        <w:pStyle w:val="Encabezado"/>
        <w:jc w:val="center"/>
        <w:rPr>
          <w:rFonts w:ascii="Arial" w:hAnsi="Arial" w:cs="Arial"/>
          <w:b/>
          <w:bCs/>
        </w:rPr>
      </w:pPr>
    </w:p>
    <w:p w14:paraId="39413B99" w14:textId="77777777" w:rsidR="005D03BF" w:rsidRPr="00DF71FB" w:rsidRDefault="005D03BF" w:rsidP="005D03BF">
      <w:pPr>
        <w:spacing w:line="240" w:lineRule="auto"/>
        <w:jc w:val="both"/>
        <w:rPr>
          <w:rFonts w:ascii="Arial" w:hAnsi="Arial" w:cs="Arial"/>
        </w:rPr>
      </w:pPr>
      <w:r w:rsidRPr="00DF71FB">
        <w:rPr>
          <w:rFonts w:ascii="Arial" w:hAnsi="Arial" w:cs="Arial"/>
        </w:rPr>
        <w:t>En Colombia, la salud es un derecho fundamental consagrado en la Constitución Política. En este contexto, el Ministerio de Salud recopila y publica información relevante sobre los prestadores de servicios de salud. A partir de los datos actualizados al 13 de mayo de 2025 a las 9:25 a.m., se presenta un análisis descriptivo sobre la tipología y características de estas entidades.</w:t>
      </w:r>
    </w:p>
    <w:p w14:paraId="5971FCB3" w14:textId="77777777" w:rsidR="005D03BF" w:rsidRPr="00DF71FB" w:rsidRDefault="005D03BF" w:rsidP="005D03BF">
      <w:pPr>
        <w:spacing w:line="240" w:lineRule="auto"/>
        <w:jc w:val="both"/>
        <w:rPr>
          <w:rFonts w:ascii="Arial" w:hAnsi="Arial" w:cs="Arial"/>
        </w:rPr>
      </w:pPr>
      <w:r w:rsidRPr="005D03BF">
        <w:rPr>
          <w:rFonts w:ascii="Arial" w:hAnsi="Arial" w:cs="Arial"/>
          <w:b/>
          <w:bCs/>
        </w:rPr>
        <w:t>Análisis descriptivo de la tipología de prestadores de servicios</w:t>
      </w:r>
    </w:p>
    <w:p w14:paraId="51501D32" w14:textId="0009A436" w:rsidR="005D03BF" w:rsidRPr="00DF71FB" w:rsidRDefault="005D03BF" w:rsidP="005D03BF">
      <w:pPr>
        <w:spacing w:line="240" w:lineRule="auto"/>
        <w:jc w:val="both"/>
        <w:rPr>
          <w:rFonts w:ascii="Arial" w:hAnsi="Arial" w:cs="Arial"/>
        </w:rPr>
      </w:pPr>
      <w:r w:rsidRPr="00DF71FB">
        <w:rPr>
          <w:rFonts w:ascii="Arial" w:hAnsi="Arial" w:cs="Arial"/>
        </w:rPr>
        <w:t>La naturaleza jurídica de los prestadores de servicios de salud se divide principalmente entre personas naturales, que representan el 78,7%, y personas jurídicas, que constituyen el 21,3%. En cuanto al régimen de propiedad, la gran mayoría, un 98,1%, son entidades privadas, mientras que solo el 1,9% son públicas. Respecto a la clasificación por tipo de prestador, el 78% corresponde a profesionales independientes, el 18,1% a Instituciones Prestadoras de Salud (IPS), y el 0,8% restante a servicios de transporte especial.</w:t>
      </w:r>
      <w:r w:rsidRPr="00DF71FB">
        <w:t xml:space="preserve"> </w:t>
      </w:r>
      <w:r w:rsidRPr="00DF71FB">
        <w:rPr>
          <w:rFonts w:ascii="Arial" w:hAnsi="Arial" w:cs="Arial"/>
        </w:rPr>
        <w:t>A continuación, se presenta una tabla cruzada que muestra la distribución detallada de los prestadores según su naturaleza jurídica y tipo de servicio ofrecido:</w:t>
      </w:r>
    </w:p>
    <w:p w14:paraId="0E6594DA" w14:textId="26A98B42" w:rsidR="00CF6CAB" w:rsidRPr="00DF71FB" w:rsidRDefault="00CF6CAB" w:rsidP="005D03BF">
      <w:pPr>
        <w:spacing w:line="240" w:lineRule="auto"/>
        <w:jc w:val="both"/>
        <w:rPr>
          <w:rFonts w:ascii="Arial" w:hAnsi="Arial" w:cs="Arial"/>
          <w:b/>
          <w:bCs/>
        </w:rPr>
      </w:pPr>
      <w:r w:rsidRPr="00CF6CAB">
        <w:rPr>
          <w:rFonts w:ascii="Arial" w:hAnsi="Arial" w:cs="Arial"/>
          <w:b/>
          <w:bCs/>
        </w:rPr>
        <w:t>Tabla cruzada de naturaleza jurídica y tipo de prestador</w:t>
      </w:r>
    </w:p>
    <w:tbl>
      <w:tblPr>
        <w:tblStyle w:val="Tablaconcuadrcula"/>
        <w:tblW w:w="0" w:type="auto"/>
        <w:tblLook w:val="04A0" w:firstRow="1" w:lastRow="0" w:firstColumn="1" w:lastColumn="0" w:noHBand="0" w:noVBand="1"/>
      </w:tblPr>
      <w:tblGrid>
        <w:gridCol w:w="2158"/>
        <w:gridCol w:w="2158"/>
        <w:gridCol w:w="2158"/>
        <w:gridCol w:w="2158"/>
        <w:gridCol w:w="2158"/>
      </w:tblGrid>
      <w:tr w:rsidR="00CF6CAB" w:rsidRPr="00DF71FB" w14:paraId="04F25F92" w14:textId="77777777" w:rsidTr="00A353F0">
        <w:tc>
          <w:tcPr>
            <w:tcW w:w="2158" w:type="dxa"/>
            <w:vAlign w:val="center"/>
          </w:tcPr>
          <w:p w14:paraId="07DDCB71" w14:textId="6949BC40" w:rsidR="00CF6CAB" w:rsidRPr="00DF71FB" w:rsidRDefault="00CF6CAB" w:rsidP="005D03BF">
            <w:pPr>
              <w:jc w:val="both"/>
              <w:rPr>
                <w:rFonts w:ascii="Arial" w:hAnsi="Arial" w:cs="Arial"/>
              </w:rPr>
            </w:pPr>
            <w:r w:rsidRPr="00CF6CAB">
              <w:rPr>
                <w:rFonts w:ascii="Arial" w:hAnsi="Arial" w:cs="Arial"/>
                <w:b/>
                <w:bCs/>
              </w:rPr>
              <w:t>Naturaleza Jurídica</w:t>
            </w:r>
          </w:p>
        </w:tc>
        <w:tc>
          <w:tcPr>
            <w:tcW w:w="2158" w:type="dxa"/>
            <w:vAlign w:val="center"/>
          </w:tcPr>
          <w:p w14:paraId="62D2644C" w14:textId="4CC7D9F0" w:rsidR="00CF6CAB" w:rsidRPr="00DF71FB" w:rsidRDefault="00CF6CAB" w:rsidP="005D03BF">
            <w:pPr>
              <w:jc w:val="both"/>
              <w:rPr>
                <w:rFonts w:ascii="Arial" w:hAnsi="Arial" w:cs="Arial"/>
              </w:rPr>
            </w:pPr>
            <w:r w:rsidRPr="00CF6CAB">
              <w:rPr>
                <w:rFonts w:ascii="Arial" w:hAnsi="Arial" w:cs="Arial"/>
                <w:b/>
                <w:bCs/>
              </w:rPr>
              <w:t>Profesional Independiente</w:t>
            </w:r>
          </w:p>
        </w:tc>
        <w:tc>
          <w:tcPr>
            <w:tcW w:w="2158" w:type="dxa"/>
            <w:vAlign w:val="center"/>
          </w:tcPr>
          <w:p w14:paraId="3C5EA4EE" w14:textId="2A009B3D" w:rsidR="00CF6CAB" w:rsidRPr="00DF71FB" w:rsidRDefault="00CF6CAB" w:rsidP="005D03BF">
            <w:pPr>
              <w:jc w:val="both"/>
              <w:rPr>
                <w:rFonts w:ascii="Arial" w:hAnsi="Arial" w:cs="Arial"/>
              </w:rPr>
            </w:pPr>
            <w:r w:rsidRPr="00CF6CAB">
              <w:rPr>
                <w:rFonts w:ascii="Arial" w:hAnsi="Arial" w:cs="Arial"/>
                <w:b/>
                <w:bCs/>
              </w:rPr>
              <w:t>IPS</w:t>
            </w:r>
          </w:p>
        </w:tc>
        <w:tc>
          <w:tcPr>
            <w:tcW w:w="2158" w:type="dxa"/>
            <w:vAlign w:val="center"/>
          </w:tcPr>
          <w:p w14:paraId="15EA18D4" w14:textId="74503ED6" w:rsidR="00CF6CAB" w:rsidRPr="00DF71FB" w:rsidRDefault="00CF6CAB" w:rsidP="005D03BF">
            <w:pPr>
              <w:jc w:val="both"/>
              <w:rPr>
                <w:rFonts w:ascii="Arial" w:hAnsi="Arial" w:cs="Arial"/>
              </w:rPr>
            </w:pPr>
            <w:r w:rsidRPr="00CF6CAB">
              <w:rPr>
                <w:rFonts w:ascii="Arial" w:hAnsi="Arial" w:cs="Arial"/>
                <w:b/>
                <w:bCs/>
              </w:rPr>
              <w:t>Objeto Social Diferente</w:t>
            </w:r>
          </w:p>
        </w:tc>
        <w:tc>
          <w:tcPr>
            <w:tcW w:w="2158" w:type="dxa"/>
            <w:vAlign w:val="center"/>
          </w:tcPr>
          <w:p w14:paraId="50C732BD" w14:textId="79DE5880" w:rsidR="00CF6CAB" w:rsidRPr="00DF71FB" w:rsidRDefault="00CF6CAB" w:rsidP="005D03BF">
            <w:pPr>
              <w:jc w:val="both"/>
              <w:rPr>
                <w:rFonts w:ascii="Arial" w:hAnsi="Arial" w:cs="Arial"/>
              </w:rPr>
            </w:pPr>
            <w:r w:rsidRPr="00CF6CAB">
              <w:rPr>
                <w:rFonts w:ascii="Arial" w:hAnsi="Arial" w:cs="Arial"/>
                <w:b/>
                <w:bCs/>
              </w:rPr>
              <w:t>Transporte Especial</w:t>
            </w:r>
          </w:p>
        </w:tc>
      </w:tr>
      <w:tr w:rsidR="00CF6CAB" w:rsidRPr="00DF71FB" w14:paraId="2B144D70" w14:textId="77777777" w:rsidTr="005B168E">
        <w:tc>
          <w:tcPr>
            <w:tcW w:w="2158" w:type="dxa"/>
            <w:vAlign w:val="center"/>
          </w:tcPr>
          <w:p w14:paraId="61490E86" w14:textId="77BD6A7E" w:rsidR="00CF6CAB" w:rsidRPr="00DF71FB" w:rsidRDefault="00CF6CAB" w:rsidP="005D03BF">
            <w:pPr>
              <w:jc w:val="both"/>
              <w:rPr>
                <w:rFonts w:ascii="Arial" w:hAnsi="Arial" w:cs="Arial"/>
              </w:rPr>
            </w:pPr>
            <w:r w:rsidRPr="00CF6CAB">
              <w:rPr>
                <w:rFonts w:ascii="Arial" w:hAnsi="Arial" w:cs="Arial"/>
              </w:rPr>
              <w:t>Natural</w:t>
            </w:r>
          </w:p>
        </w:tc>
        <w:tc>
          <w:tcPr>
            <w:tcW w:w="2158" w:type="dxa"/>
            <w:vAlign w:val="center"/>
          </w:tcPr>
          <w:p w14:paraId="4ABF0425" w14:textId="2F9ADC49" w:rsidR="00CF6CAB" w:rsidRPr="00DF71FB" w:rsidRDefault="00CF6CAB" w:rsidP="005D03BF">
            <w:pPr>
              <w:jc w:val="both"/>
              <w:rPr>
                <w:rFonts w:ascii="Arial" w:hAnsi="Arial" w:cs="Arial"/>
              </w:rPr>
            </w:pPr>
            <w:r w:rsidRPr="00CF6CAB">
              <w:rPr>
                <w:rFonts w:ascii="Arial" w:hAnsi="Arial" w:cs="Arial"/>
              </w:rPr>
              <w:t>3</w:t>
            </w:r>
            <w:r w:rsidR="00B53D40" w:rsidRPr="00DF71FB">
              <w:rPr>
                <w:rFonts w:ascii="Arial" w:hAnsi="Arial" w:cs="Arial"/>
              </w:rPr>
              <w:t>5510</w:t>
            </w:r>
          </w:p>
        </w:tc>
        <w:tc>
          <w:tcPr>
            <w:tcW w:w="2158" w:type="dxa"/>
            <w:vAlign w:val="center"/>
          </w:tcPr>
          <w:p w14:paraId="1D0ED4A3" w14:textId="38C791A6" w:rsidR="00CF6CAB" w:rsidRPr="00DF71FB" w:rsidRDefault="00B53D40" w:rsidP="005D03BF">
            <w:pPr>
              <w:jc w:val="both"/>
              <w:rPr>
                <w:rFonts w:ascii="Arial" w:hAnsi="Arial" w:cs="Arial"/>
              </w:rPr>
            </w:pPr>
            <w:r w:rsidRPr="00DF71FB">
              <w:rPr>
                <w:rFonts w:ascii="Arial" w:hAnsi="Arial" w:cs="Arial"/>
              </w:rPr>
              <w:t>6987</w:t>
            </w:r>
          </w:p>
        </w:tc>
        <w:tc>
          <w:tcPr>
            <w:tcW w:w="2158" w:type="dxa"/>
            <w:vAlign w:val="center"/>
          </w:tcPr>
          <w:p w14:paraId="5D0038D8" w14:textId="4C12D350" w:rsidR="00CF6CAB" w:rsidRPr="00DF71FB" w:rsidRDefault="00CF6CAB" w:rsidP="005D03BF">
            <w:pPr>
              <w:jc w:val="both"/>
              <w:rPr>
                <w:rFonts w:ascii="Arial" w:hAnsi="Arial" w:cs="Arial"/>
              </w:rPr>
            </w:pPr>
            <w:r w:rsidRPr="00CF6CAB">
              <w:rPr>
                <w:rFonts w:ascii="Arial" w:hAnsi="Arial" w:cs="Arial"/>
              </w:rPr>
              <w:t>1</w:t>
            </w:r>
            <w:r w:rsidR="00B53D40" w:rsidRPr="00DF71FB">
              <w:rPr>
                <w:rFonts w:ascii="Arial" w:hAnsi="Arial" w:cs="Arial"/>
              </w:rPr>
              <w:t>001</w:t>
            </w:r>
          </w:p>
        </w:tc>
        <w:tc>
          <w:tcPr>
            <w:tcW w:w="2158" w:type="dxa"/>
            <w:vAlign w:val="center"/>
          </w:tcPr>
          <w:p w14:paraId="6C91A92E" w14:textId="1D56167A" w:rsidR="00CF6CAB" w:rsidRPr="00DF71FB" w:rsidRDefault="00CF6CAB" w:rsidP="005D03BF">
            <w:pPr>
              <w:jc w:val="both"/>
              <w:rPr>
                <w:rFonts w:ascii="Arial" w:hAnsi="Arial" w:cs="Arial"/>
              </w:rPr>
            </w:pPr>
            <w:r w:rsidRPr="00CF6CAB">
              <w:rPr>
                <w:rFonts w:ascii="Arial" w:hAnsi="Arial" w:cs="Arial"/>
              </w:rPr>
              <w:t>3</w:t>
            </w:r>
            <w:r w:rsidR="00B53D40" w:rsidRPr="00DF71FB">
              <w:rPr>
                <w:rFonts w:ascii="Arial" w:hAnsi="Arial" w:cs="Arial"/>
              </w:rPr>
              <w:t>13</w:t>
            </w:r>
          </w:p>
        </w:tc>
      </w:tr>
      <w:tr w:rsidR="00CF6CAB" w:rsidRPr="00DF71FB" w14:paraId="650A2D2B" w14:textId="77777777" w:rsidTr="005B168E">
        <w:tc>
          <w:tcPr>
            <w:tcW w:w="2158" w:type="dxa"/>
            <w:vAlign w:val="center"/>
          </w:tcPr>
          <w:p w14:paraId="44EB81C0" w14:textId="5E727CB4" w:rsidR="00CF6CAB" w:rsidRPr="00DF71FB" w:rsidRDefault="00CF6CAB" w:rsidP="005D03BF">
            <w:pPr>
              <w:jc w:val="both"/>
              <w:rPr>
                <w:rFonts w:ascii="Arial" w:hAnsi="Arial" w:cs="Arial"/>
              </w:rPr>
            </w:pPr>
            <w:r w:rsidRPr="00CF6CAB">
              <w:rPr>
                <w:rFonts w:ascii="Arial" w:hAnsi="Arial" w:cs="Arial"/>
              </w:rPr>
              <w:t>Jurídico</w:t>
            </w:r>
          </w:p>
        </w:tc>
        <w:tc>
          <w:tcPr>
            <w:tcW w:w="2158" w:type="dxa"/>
            <w:vAlign w:val="center"/>
          </w:tcPr>
          <w:p w14:paraId="19DD8835" w14:textId="01B45878" w:rsidR="00B53D40" w:rsidRPr="00DF71FB" w:rsidRDefault="00B53D40" w:rsidP="005D03BF">
            <w:pPr>
              <w:jc w:val="both"/>
              <w:rPr>
                <w:rFonts w:ascii="Arial" w:hAnsi="Arial" w:cs="Arial"/>
              </w:rPr>
            </w:pPr>
            <w:r w:rsidRPr="00DF71FB">
              <w:rPr>
                <w:rFonts w:ascii="Arial" w:hAnsi="Arial" w:cs="Arial"/>
              </w:rPr>
              <w:t>8306</w:t>
            </w:r>
          </w:p>
        </w:tc>
        <w:tc>
          <w:tcPr>
            <w:tcW w:w="2158" w:type="dxa"/>
            <w:vAlign w:val="center"/>
          </w:tcPr>
          <w:p w14:paraId="62BF0A7B" w14:textId="10E024D6" w:rsidR="00CF6CAB" w:rsidRPr="00DF71FB" w:rsidRDefault="00B53D40" w:rsidP="005D03BF">
            <w:pPr>
              <w:jc w:val="both"/>
              <w:rPr>
                <w:rFonts w:ascii="Arial" w:hAnsi="Arial" w:cs="Arial"/>
              </w:rPr>
            </w:pPr>
            <w:r w:rsidRPr="00DF71FB">
              <w:rPr>
                <w:rFonts w:ascii="Arial" w:hAnsi="Arial" w:cs="Arial"/>
              </w:rPr>
              <w:t>3105</w:t>
            </w:r>
          </w:p>
        </w:tc>
        <w:tc>
          <w:tcPr>
            <w:tcW w:w="2158" w:type="dxa"/>
            <w:vAlign w:val="center"/>
          </w:tcPr>
          <w:p w14:paraId="5601F77C" w14:textId="5C8BC3CC" w:rsidR="00CF6CAB" w:rsidRPr="00DF71FB" w:rsidRDefault="00B53D40" w:rsidP="005D03BF">
            <w:pPr>
              <w:jc w:val="both"/>
              <w:rPr>
                <w:rFonts w:ascii="Arial" w:hAnsi="Arial" w:cs="Arial"/>
              </w:rPr>
            </w:pPr>
            <w:r w:rsidRPr="00DF71FB">
              <w:rPr>
                <w:rFonts w:ascii="Arial" w:hAnsi="Arial" w:cs="Arial"/>
              </w:rPr>
              <w:t>298</w:t>
            </w:r>
          </w:p>
        </w:tc>
        <w:tc>
          <w:tcPr>
            <w:tcW w:w="2158" w:type="dxa"/>
            <w:vAlign w:val="center"/>
          </w:tcPr>
          <w:p w14:paraId="248031FB" w14:textId="040D2F55" w:rsidR="00CF6CAB" w:rsidRPr="00DF71FB" w:rsidRDefault="00B53D40" w:rsidP="005D03BF">
            <w:pPr>
              <w:jc w:val="both"/>
              <w:rPr>
                <w:rFonts w:ascii="Arial" w:hAnsi="Arial" w:cs="Arial"/>
              </w:rPr>
            </w:pPr>
            <w:r w:rsidRPr="00DF71FB">
              <w:rPr>
                <w:rFonts w:ascii="Arial" w:hAnsi="Arial" w:cs="Arial"/>
              </w:rPr>
              <w:t>130</w:t>
            </w:r>
          </w:p>
        </w:tc>
      </w:tr>
    </w:tbl>
    <w:p w14:paraId="3657EC59" w14:textId="77777777" w:rsidR="00DF71FB" w:rsidRPr="00DF71FB" w:rsidRDefault="00DF71FB" w:rsidP="005D03BF">
      <w:pPr>
        <w:spacing w:line="240" w:lineRule="auto"/>
        <w:jc w:val="both"/>
        <w:rPr>
          <w:rFonts w:ascii="Arial" w:hAnsi="Arial" w:cs="Arial"/>
        </w:rPr>
      </w:pPr>
    </w:p>
    <w:p w14:paraId="24953540" w14:textId="211ED180" w:rsidR="005D03BF" w:rsidRPr="00DF71FB" w:rsidRDefault="005D03BF" w:rsidP="005D03BF">
      <w:pPr>
        <w:spacing w:line="240" w:lineRule="auto"/>
        <w:jc w:val="both"/>
        <w:rPr>
          <w:rFonts w:ascii="Arial" w:hAnsi="Arial" w:cs="Arial"/>
        </w:rPr>
      </w:pPr>
      <w:r w:rsidRPr="00DF71FB">
        <w:rPr>
          <w:rFonts w:ascii="Arial" w:hAnsi="Arial" w:cs="Arial"/>
        </w:rPr>
        <w:t>De la tabla anterior se concluye que la mayoría de los prestadores de servicios de salud operan como personas naturales más que como entidades jurídicas formales, especialmente en el segmento de profesionales independientes y en las Instituciones Prestadoras de Salud (IPS).</w:t>
      </w:r>
    </w:p>
    <w:p w14:paraId="38DEF5D6" w14:textId="38E0D697" w:rsidR="00D534FA" w:rsidRPr="00DF71FB" w:rsidRDefault="00D534FA" w:rsidP="005D03BF">
      <w:pPr>
        <w:spacing w:line="240" w:lineRule="auto"/>
        <w:jc w:val="both"/>
        <w:rPr>
          <w:rFonts w:ascii="Arial" w:hAnsi="Arial" w:cs="Arial"/>
          <w:b/>
          <w:bCs/>
        </w:rPr>
      </w:pPr>
      <w:r w:rsidRPr="00DF71FB">
        <w:rPr>
          <w:rFonts w:ascii="Arial" w:hAnsi="Arial" w:cs="Arial"/>
          <w:b/>
          <w:bCs/>
        </w:rPr>
        <w:t xml:space="preserve">Análisis departamental </w:t>
      </w:r>
    </w:p>
    <w:p w14:paraId="018BA56B" w14:textId="4B7533F9" w:rsidR="005D03BF" w:rsidRPr="00DF71FB" w:rsidRDefault="005D03BF" w:rsidP="005D03BF">
      <w:pPr>
        <w:spacing w:line="240" w:lineRule="auto"/>
        <w:jc w:val="both"/>
        <w:rPr>
          <w:rFonts w:ascii="Arial" w:hAnsi="Arial" w:cs="Arial"/>
        </w:rPr>
      </w:pPr>
      <w:r w:rsidRPr="00DF71FB">
        <w:rPr>
          <w:rFonts w:ascii="Arial" w:hAnsi="Arial" w:cs="Arial"/>
        </w:rPr>
        <w:t>Al analizar la distribución de los prestadores de servicios de salud por departamentos en Colombia, se identifican varias tendencias importantes. Bogotá, la capital del país, concentra la mayor cantidad de prestadores, seguida por Antioquia, Valle del Cauca</w:t>
      </w:r>
      <w:r w:rsidRPr="00DF71FB">
        <w:rPr>
          <w:rFonts w:ascii="Arial" w:hAnsi="Arial" w:cs="Arial"/>
        </w:rPr>
        <w:t xml:space="preserve">, </w:t>
      </w:r>
      <w:r w:rsidRPr="00DF71FB">
        <w:rPr>
          <w:rFonts w:ascii="Arial" w:hAnsi="Arial" w:cs="Arial"/>
        </w:rPr>
        <w:t>Atlántico y Risaralda. En contraste, los departamentos con menor número de prestadores son Vaupés, Guainía, Vichada, Amazonas y Guaviare. Esta diferencia refleja una marcada concentración de servicios en las zonas más centralizadas del país, mientras que las regiones más apartadas presentan una cobertura significativamente</w:t>
      </w:r>
      <w:r w:rsidRPr="00DF71FB">
        <w:rPr>
          <w:rFonts w:ascii="Arial" w:hAnsi="Arial" w:cs="Arial"/>
        </w:rPr>
        <w:t xml:space="preserve"> </w:t>
      </w:r>
      <w:r w:rsidRPr="00DF71FB">
        <w:rPr>
          <w:rFonts w:ascii="Arial" w:hAnsi="Arial" w:cs="Arial"/>
        </w:rPr>
        <w:t>menor.</w:t>
      </w:r>
    </w:p>
    <w:p w14:paraId="3217E3DF" w14:textId="3A26E77E" w:rsidR="00D534FA" w:rsidRPr="00DF71FB" w:rsidRDefault="00A31BB8" w:rsidP="005D03BF">
      <w:pPr>
        <w:spacing w:line="240" w:lineRule="auto"/>
        <w:jc w:val="both"/>
        <w:rPr>
          <w:rFonts w:ascii="Arial" w:hAnsi="Arial" w:cs="Arial"/>
        </w:rPr>
      </w:pPr>
      <w:r w:rsidRPr="00DF71FB">
        <w:rPr>
          <w:noProof/>
        </w:rPr>
        <w:drawing>
          <wp:inline distT="0" distB="0" distL="0" distR="0" wp14:anchorId="0E9BBC38" wp14:editId="522CF2D5">
            <wp:extent cx="3445510" cy="2067307"/>
            <wp:effectExtent l="0" t="0" r="2540" b="9525"/>
            <wp:docPr id="1227722343" name="Imagen 4"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2343" name="Imagen 4" descr="Gráfico, Gráfico de barras, Histo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9770" cy="2087863"/>
                    </a:xfrm>
                    <a:prstGeom prst="rect">
                      <a:avLst/>
                    </a:prstGeom>
                    <a:noFill/>
                    <a:ln>
                      <a:noFill/>
                    </a:ln>
                  </pic:spPr>
                </pic:pic>
              </a:graphicData>
            </a:graphic>
          </wp:inline>
        </w:drawing>
      </w:r>
      <w:r w:rsidR="006E61E4" w:rsidRPr="00DF71FB">
        <w:rPr>
          <w:noProof/>
        </w:rPr>
        <w:drawing>
          <wp:inline distT="0" distB="0" distL="0" distR="0" wp14:anchorId="0BEA3D2F" wp14:editId="26742E9D">
            <wp:extent cx="3233208" cy="1939925"/>
            <wp:effectExtent l="0" t="0" r="5715" b="3175"/>
            <wp:docPr id="328498332" name="Imagen 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98332" name="Imagen 5" descr="Gráfico, Gráfico de barras&#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4115" cy="1952469"/>
                    </a:xfrm>
                    <a:prstGeom prst="rect">
                      <a:avLst/>
                    </a:prstGeom>
                    <a:noFill/>
                    <a:ln>
                      <a:noFill/>
                    </a:ln>
                  </pic:spPr>
                </pic:pic>
              </a:graphicData>
            </a:graphic>
          </wp:inline>
        </w:drawing>
      </w:r>
    </w:p>
    <w:p w14:paraId="3BA9294B" w14:textId="77777777" w:rsidR="00EB342E" w:rsidRPr="00DF71FB" w:rsidRDefault="00EB342E" w:rsidP="005D03BF">
      <w:pPr>
        <w:spacing w:line="240" w:lineRule="auto"/>
        <w:jc w:val="center"/>
        <w:rPr>
          <w:rFonts w:ascii="Arial" w:hAnsi="Arial" w:cs="Arial"/>
        </w:rPr>
        <w:sectPr w:rsidR="00EB342E" w:rsidRPr="00DF71FB" w:rsidSect="005D03BF">
          <w:headerReference w:type="default" r:id="rId8"/>
          <w:footerReference w:type="default" r:id="rId9"/>
          <w:type w:val="continuous"/>
          <w:pgSz w:w="12240" w:h="15840"/>
          <w:pgMar w:top="720" w:right="720" w:bottom="720" w:left="720" w:header="708" w:footer="708" w:gutter="0"/>
          <w:cols w:space="708"/>
          <w:docGrid w:linePitch="360"/>
        </w:sectPr>
      </w:pPr>
    </w:p>
    <w:p w14:paraId="530ECA3E" w14:textId="77777777" w:rsidR="00FD4A09" w:rsidRPr="00DF71FB" w:rsidRDefault="00FD4A09" w:rsidP="00FD4A09">
      <w:pPr>
        <w:spacing w:line="240" w:lineRule="auto"/>
        <w:jc w:val="both"/>
        <w:rPr>
          <w:rFonts w:ascii="Arial" w:hAnsi="Arial" w:cs="Arial"/>
        </w:rPr>
        <w:sectPr w:rsidR="00FD4A09" w:rsidRPr="00DF71FB" w:rsidSect="00EB342E">
          <w:type w:val="continuous"/>
          <w:pgSz w:w="12240" w:h="15840"/>
          <w:pgMar w:top="720" w:right="720" w:bottom="720" w:left="720" w:header="708" w:footer="708" w:gutter="0"/>
          <w:cols w:space="708"/>
          <w:docGrid w:linePitch="360"/>
        </w:sectPr>
      </w:pPr>
    </w:p>
    <w:p w14:paraId="3DE11D59" w14:textId="77777777" w:rsidR="00FD4A09" w:rsidRPr="00DF71FB" w:rsidRDefault="00C879E9" w:rsidP="00FD4A09">
      <w:pPr>
        <w:spacing w:line="240" w:lineRule="auto"/>
        <w:jc w:val="both"/>
        <w:rPr>
          <w:rFonts w:ascii="Arial" w:hAnsi="Arial" w:cs="Arial"/>
        </w:rPr>
      </w:pPr>
      <w:r w:rsidRPr="00DF71FB">
        <w:rPr>
          <w:rFonts w:ascii="Arial" w:hAnsi="Arial" w:cs="Arial"/>
        </w:rPr>
        <w:lastRenderedPageBreak/>
        <w:t>Por otra parte, la siguiente gráfica evidencia disparidades significativas en la tasa de prestadores por cada 10.000 habitantes a nivel departamental en Colombia, destacando focos de concentración como Bogotá D.C., Antioquia y Risaralda. Este análisis revela no solo diferencias estructurales en la distribución de servicios, sino también oportunidades estratégicas para optimizar la cobertura en regiones con menor densidad.</w:t>
      </w:r>
      <w:r w:rsidRPr="00DF71FB">
        <w:t xml:space="preserve"> </w:t>
      </w:r>
      <w:r w:rsidRPr="00DF71FB">
        <w:rPr>
          <w:rFonts w:ascii="Arial" w:hAnsi="Arial" w:cs="Arial"/>
        </w:rPr>
        <w:t>Este indicador permite visualizar inequidades regionales y orientar de forma más efectiva los esfuerzos de planeación territorial en salud.</w:t>
      </w:r>
    </w:p>
    <w:p w14:paraId="797194AC" w14:textId="21EFE083" w:rsidR="00FD4A09" w:rsidRPr="00DF71FB" w:rsidRDefault="00FD4A09" w:rsidP="00FD4A09">
      <w:pPr>
        <w:spacing w:line="240" w:lineRule="auto"/>
        <w:jc w:val="center"/>
        <w:rPr>
          <w:rFonts w:ascii="Arial" w:hAnsi="Arial" w:cs="Arial"/>
        </w:rPr>
        <w:sectPr w:rsidR="00FD4A09" w:rsidRPr="00DF71FB" w:rsidSect="00FD4A09">
          <w:type w:val="continuous"/>
          <w:pgSz w:w="12240" w:h="15840"/>
          <w:pgMar w:top="720" w:right="720" w:bottom="720" w:left="720" w:header="708" w:footer="708" w:gutter="0"/>
          <w:cols w:num="2" w:space="234"/>
          <w:docGrid w:linePitch="360"/>
        </w:sectPr>
      </w:pPr>
      <w:r w:rsidRPr="00DF71FB">
        <w:rPr>
          <w:noProof/>
        </w:rPr>
        <w:drawing>
          <wp:inline distT="0" distB="0" distL="0" distR="0" wp14:anchorId="0A84CC12" wp14:editId="12296EF8">
            <wp:extent cx="2884139" cy="2307508"/>
            <wp:effectExtent l="0" t="0" r="0" b="0"/>
            <wp:docPr id="185614232" name="Imagen 1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4232" name="Imagen 13" descr="Gráfic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7879" cy="2318501"/>
                    </a:xfrm>
                    <a:prstGeom prst="rect">
                      <a:avLst/>
                    </a:prstGeom>
                    <a:noFill/>
                    <a:ln>
                      <a:noFill/>
                    </a:ln>
                  </pic:spPr>
                </pic:pic>
              </a:graphicData>
            </a:graphic>
          </wp:inline>
        </w:drawing>
      </w:r>
    </w:p>
    <w:p w14:paraId="4D9174B8" w14:textId="6027CEA6" w:rsidR="00140A7B" w:rsidRPr="00DF71FB" w:rsidRDefault="00140A7B" w:rsidP="00140A7B">
      <w:pPr>
        <w:spacing w:line="240" w:lineRule="auto"/>
        <w:jc w:val="both"/>
        <w:rPr>
          <w:rFonts w:ascii="Arial" w:hAnsi="Arial" w:cs="Arial"/>
          <w:b/>
          <w:bCs/>
        </w:rPr>
      </w:pPr>
      <w:r w:rsidRPr="00DF71FB">
        <w:rPr>
          <w:rFonts w:ascii="Arial" w:hAnsi="Arial" w:cs="Arial"/>
          <w:b/>
          <w:bCs/>
        </w:rPr>
        <w:t>Análisis vencimiento de registros</w:t>
      </w:r>
    </w:p>
    <w:p w14:paraId="54F7D01E" w14:textId="417B2A71" w:rsidR="00140A7B" w:rsidRPr="00DF71FB" w:rsidRDefault="00140A7B" w:rsidP="00140A7B">
      <w:pPr>
        <w:spacing w:line="240" w:lineRule="auto"/>
        <w:jc w:val="both"/>
        <w:rPr>
          <w:rFonts w:ascii="Arial" w:hAnsi="Arial" w:cs="Arial"/>
        </w:rPr>
      </w:pPr>
      <w:r w:rsidRPr="00DF71FB">
        <w:rPr>
          <w:rFonts w:ascii="Arial" w:hAnsi="Arial" w:cs="Arial"/>
        </w:rPr>
        <w:t>De igual forma, m</w:t>
      </w:r>
      <w:r w:rsidRPr="00DF71FB">
        <w:rPr>
          <w:rFonts w:ascii="Arial" w:hAnsi="Arial" w:cs="Arial"/>
        </w:rPr>
        <w:t>ás allá de la distribución geográfica, un aspecto crítico a considerar es la vigencia de los registros de los prestadores. El 80.1% de estos registros vencerán en los próximos dos años, lo cual genera una alerta importante para la continuidad en la prestación de servicios de salud.</w:t>
      </w:r>
    </w:p>
    <w:p w14:paraId="5D77BA0A" w14:textId="29E42EE3" w:rsidR="00140A7B" w:rsidRPr="00DF71FB" w:rsidRDefault="00140A7B" w:rsidP="00140A7B">
      <w:pPr>
        <w:spacing w:line="240" w:lineRule="auto"/>
        <w:jc w:val="both"/>
        <w:rPr>
          <w:rFonts w:ascii="Arial" w:hAnsi="Arial" w:cs="Arial"/>
        </w:rPr>
      </w:pPr>
      <w:r w:rsidRPr="00DF71FB">
        <w:rPr>
          <w:rFonts w:ascii="Arial" w:hAnsi="Arial" w:cs="Arial"/>
        </w:rPr>
        <w:t>En particular, dentro de las Instituciones Prestadoras de Salud (IPS), se proyecta que este año 2025 el 52% de los registros expirarán, mientras que para el próximo año también se espera un volumen significativo de vencimientos. En términos generales, el 47.9% de los registros vencerán durante 2025 y el 32.2% en 2026, lo que podría afectar a un amplio porcentaje del sistema en un corto plazo.</w:t>
      </w:r>
    </w:p>
    <w:p w14:paraId="19BBC255" w14:textId="77777777" w:rsidR="00140A7B" w:rsidRPr="00DF71FB" w:rsidRDefault="00140A7B" w:rsidP="00961DA2">
      <w:pPr>
        <w:spacing w:line="240" w:lineRule="auto"/>
        <w:jc w:val="center"/>
        <w:rPr>
          <w:rFonts w:ascii="Arial" w:hAnsi="Arial" w:cs="Arial"/>
        </w:rPr>
      </w:pPr>
      <w:r w:rsidRPr="00DF71FB">
        <w:rPr>
          <w:rFonts w:ascii="Arial" w:hAnsi="Arial" w:cs="Arial"/>
        </w:rPr>
        <w:t>Esta situación evidencia la necesidad de implementar mecanismos efectivos para la renovación oportuna de registros, a fin de garantizar la continuidad y calidad en la prestación de servicios de salud a la población.</w:t>
      </w:r>
    </w:p>
    <w:p w14:paraId="658E9776" w14:textId="31E783E5" w:rsidR="00BF0676" w:rsidRPr="00DF71FB" w:rsidRDefault="00404670" w:rsidP="00961DA2">
      <w:pPr>
        <w:spacing w:line="240" w:lineRule="auto"/>
        <w:jc w:val="center"/>
        <w:rPr>
          <w:rFonts w:ascii="Arial" w:hAnsi="Arial" w:cs="Arial"/>
        </w:rPr>
      </w:pPr>
      <w:r w:rsidRPr="00DF71FB">
        <w:rPr>
          <w:noProof/>
        </w:rPr>
        <w:drawing>
          <wp:inline distT="0" distB="0" distL="0" distR="0" wp14:anchorId="30BE524B" wp14:editId="3BB1CF97">
            <wp:extent cx="3030583" cy="1894115"/>
            <wp:effectExtent l="0" t="0" r="0" b="0"/>
            <wp:docPr id="1574248411" name="Imagen 1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8411" name="Imagen 16" descr="Gráfico, Gráfico de barras&#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9984" cy="1899991"/>
                    </a:xfrm>
                    <a:prstGeom prst="rect">
                      <a:avLst/>
                    </a:prstGeom>
                    <a:noFill/>
                    <a:ln>
                      <a:noFill/>
                    </a:ln>
                  </pic:spPr>
                </pic:pic>
              </a:graphicData>
            </a:graphic>
          </wp:inline>
        </w:drawing>
      </w:r>
      <w:r w:rsidRPr="00DF71FB">
        <w:rPr>
          <w:noProof/>
        </w:rPr>
        <w:drawing>
          <wp:inline distT="0" distB="0" distL="0" distR="0" wp14:anchorId="26C37EF6" wp14:editId="6ECCA3B8">
            <wp:extent cx="3254829" cy="2034268"/>
            <wp:effectExtent l="0" t="0" r="3175" b="4445"/>
            <wp:docPr id="2041006711" name="Imagen 17"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06711" name="Imagen 17" descr="Gráfico, Gráfico de barras&#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466" cy="2035916"/>
                    </a:xfrm>
                    <a:prstGeom prst="rect">
                      <a:avLst/>
                    </a:prstGeom>
                    <a:noFill/>
                    <a:ln>
                      <a:noFill/>
                    </a:ln>
                  </pic:spPr>
                </pic:pic>
              </a:graphicData>
            </a:graphic>
          </wp:inline>
        </w:drawing>
      </w:r>
    </w:p>
    <w:p w14:paraId="64D64372" w14:textId="18AEEF59" w:rsidR="00DF71FB" w:rsidRPr="00DF71FB" w:rsidRDefault="00DF71FB" w:rsidP="00AA2CB6">
      <w:pPr>
        <w:pBdr>
          <w:bottom w:val="single" w:sz="12" w:space="1" w:color="auto"/>
        </w:pBdr>
        <w:spacing w:line="240" w:lineRule="auto"/>
        <w:jc w:val="both"/>
        <w:rPr>
          <w:rFonts w:ascii="Arial" w:hAnsi="Arial" w:cs="Arial"/>
          <w:b/>
          <w:bCs/>
        </w:rPr>
      </w:pPr>
      <w:r w:rsidRPr="00DF71FB">
        <w:rPr>
          <w:rFonts w:ascii="Arial" w:hAnsi="Arial" w:cs="Arial"/>
          <w:b/>
          <w:bCs/>
        </w:rPr>
        <w:t>Conclusión:</w:t>
      </w:r>
      <w:r>
        <w:rPr>
          <w:rFonts w:ascii="Arial" w:hAnsi="Arial" w:cs="Arial"/>
        </w:rPr>
        <w:t xml:space="preserve"> </w:t>
      </w:r>
      <w:r w:rsidRPr="00DF71FB">
        <w:rPr>
          <w:rFonts w:ascii="Arial" w:hAnsi="Arial" w:cs="Arial"/>
        </w:rPr>
        <w:t>La mayoría de los prestadores de servicios de salud en Colombia son privados y personas naturales, con una concentración significativa en pocas regiones del país. Esta distribución genera desigualdades en el acceso a los servicios de salud, especialmente en zonas apartadas. Además, el vencimiento masivo de registros en los próximos dos años, principalmente en las IPS, representa un riesgo para la continuidad y calidad de la atención. Por ello, es urgente mejorar los procesos de renovación y promover una distribución más equilibrada de los prestadores para garantizar un acceso efectivo y sostenible a la salud en todo el territorio nacional.</w:t>
      </w:r>
    </w:p>
    <w:p w14:paraId="00F2B643" w14:textId="08B55662" w:rsidR="00BF0676" w:rsidRPr="00DF71FB" w:rsidRDefault="00DF71FB" w:rsidP="006D0AA2">
      <w:pPr>
        <w:spacing w:line="240" w:lineRule="auto"/>
        <w:jc w:val="both"/>
        <w:rPr>
          <w:rFonts w:ascii="Arial" w:hAnsi="Arial" w:cs="Arial"/>
        </w:rPr>
      </w:pPr>
      <w:r w:rsidRPr="00DF71FB">
        <w:rPr>
          <w:rFonts w:ascii="Arial" w:hAnsi="Arial" w:cs="Arial"/>
          <w:b/>
          <w:bCs/>
        </w:rPr>
        <w:t xml:space="preserve">Bibliografía: </w:t>
      </w:r>
      <w:r w:rsidRPr="00DF71FB">
        <w:rPr>
          <w:rFonts w:ascii="Arial" w:hAnsi="Arial" w:cs="Arial"/>
        </w:rPr>
        <w:t xml:space="preserve">Departamento Administrativo Nacional de Estadística (DANE). (2023). </w:t>
      </w:r>
      <w:r w:rsidRPr="00DF71FB">
        <w:rPr>
          <w:rFonts w:ascii="Arial" w:hAnsi="Arial" w:cs="Arial"/>
          <w:i/>
          <w:iCs/>
        </w:rPr>
        <w:t>Proyecciones de población</w:t>
      </w:r>
      <w:r w:rsidRPr="00DF71FB">
        <w:rPr>
          <w:rFonts w:ascii="Arial" w:hAnsi="Arial" w:cs="Arial"/>
        </w:rPr>
        <w:t>.</w:t>
      </w:r>
      <w:hyperlink r:id="rId13" w:history="1">
        <w:r w:rsidR="00E4062D" w:rsidRPr="009F38E5">
          <w:rPr>
            <w:rStyle w:val="Hipervnculo"/>
            <w:rFonts w:ascii="Arial" w:hAnsi="Arial" w:cs="Arial"/>
          </w:rPr>
          <w:t>https://www.dane.gov.co/index.php/estadisticas-por-tema/demografia-y-poblacion/proyecciones-de-poblacion</w:t>
        </w:r>
      </w:hyperlink>
    </w:p>
    <w:sectPr w:rsidR="00BF0676" w:rsidRPr="00DF71FB" w:rsidSect="00EB342E">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045ED" w14:textId="77777777" w:rsidR="003879CE" w:rsidRDefault="003879CE" w:rsidP="00BF0676">
      <w:pPr>
        <w:spacing w:after="0" w:line="240" w:lineRule="auto"/>
      </w:pPr>
      <w:r>
        <w:separator/>
      </w:r>
    </w:p>
  </w:endnote>
  <w:endnote w:type="continuationSeparator" w:id="0">
    <w:p w14:paraId="75867368" w14:textId="77777777" w:rsidR="003879CE" w:rsidRDefault="003879CE" w:rsidP="00BF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32E2D" w14:textId="2D388B9A" w:rsidR="00BF0676" w:rsidRDefault="00BF0676">
    <w:pPr>
      <w:pStyle w:val="Piedepgina"/>
    </w:pPr>
    <w:r>
      <w:ptab w:relativeTo="margin" w:alignment="center" w:leader="none"/>
    </w:r>
    <w:hyperlink r:id="rId1" w:history="1">
      <w:r w:rsidRPr="00BF0676">
        <w:rPr>
          <w:rStyle w:val="Hipervnculo"/>
        </w:rPr>
        <w:t>GitHub</w:t>
      </w:r>
    </w:hyperlink>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6243B" w14:textId="77777777" w:rsidR="003879CE" w:rsidRDefault="003879CE" w:rsidP="00BF0676">
      <w:pPr>
        <w:spacing w:after="0" w:line="240" w:lineRule="auto"/>
      </w:pPr>
      <w:r>
        <w:separator/>
      </w:r>
    </w:p>
  </w:footnote>
  <w:footnote w:type="continuationSeparator" w:id="0">
    <w:p w14:paraId="0D6EB48A" w14:textId="77777777" w:rsidR="003879CE" w:rsidRDefault="003879CE" w:rsidP="00BF0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DBD63" w14:textId="60B60E96" w:rsidR="00504860" w:rsidRDefault="00504860" w:rsidP="00504860">
    <w:pPr>
      <w:pStyle w:val="Encabezado"/>
      <w:jc w:val="right"/>
    </w:pPr>
    <w:r>
      <w:rPr>
        <w:noProof/>
      </w:rPr>
      <w:drawing>
        <wp:anchor distT="0" distB="0" distL="114300" distR="114300" simplePos="0" relativeHeight="251658240" behindDoc="1" locked="0" layoutInCell="1" allowOverlap="1" wp14:anchorId="435A82AF" wp14:editId="0984E530">
          <wp:simplePos x="0" y="0"/>
          <wp:positionH relativeFrom="column">
            <wp:posOffset>5812973</wp:posOffset>
          </wp:positionH>
          <wp:positionV relativeFrom="paragraph">
            <wp:posOffset>-275409</wp:posOffset>
          </wp:positionV>
          <wp:extent cx="1044664" cy="522333"/>
          <wp:effectExtent l="0" t="0" r="3175" b="0"/>
          <wp:wrapNone/>
          <wp:docPr id="1815242758" name="Imagen 14" descr="IETS – Instituto de Evaluación Tecnologica en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ETS – Instituto de Evaluación Tecnologica en Sal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012" cy="53700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76"/>
    <w:rsid w:val="0004351E"/>
    <w:rsid w:val="00063F9D"/>
    <w:rsid w:val="00087FAB"/>
    <w:rsid w:val="00090370"/>
    <w:rsid w:val="000F11D3"/>
    <w:rsid w:val="00121743"/>
    <w:rsid w:val="00140A7B"/>
    <w:rsid w:val="00247C08"/>
    <w:rsid w:val="002E3200"/>
    <w:rsid w:val="003721CA"/>
    <w:rsid w:val="003879CE"/>
    <w:rsid w:val="003F5E0B"/>
    <w:rsid w:val="00404670"/>
    <w:rsid w:val="0041778C"/>
    <w:rsid w:val="00466787"/>
    <w:rsid w:val="00504860"/>
    <w:rsid w:val="005A19F3"/>
    <w:rsid w:val="005D03BF"/>
    <w:rsid w:val="00600AF8"/>
    <w:rsid w:val="006D0AA2"/>
    <w:rsid w:val="006E61E4"/>
    <w:rsid w:val="00790CB4"/>
    <w:rsid w:val="00961DA2"/>
    <w:rsid w:val="00A05D56"/>
    <w:rsid w:val="00A31BB8"/>
    <w:rsid w:val="00AA2CB6"/>
    <w:rsid w:val="00B53D40"/>
    <w:rsid w:val="00BF0676"/>
    <w:rsid w:val="00C25C22"/>
    <w:rsid w:val="00C879E9"/>
    <w:rsid w:val="00CE4B22"/>
    <w:rsid w:val="00CF6CAB"/>
    <w:rsid w:val="00D534FA"/>
    <w:rsid w:val="00DF71FB"/>
    <w:rsid w:val="00E4062D"/>
    <w:rsid w:val="00EB342E"/>
    <w:rsid w:val="00EC3985"/>
    <w:rsid w:val="00FD4A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2E956"/>
  <w15:chartTrackingRefBased/>
  <w15:docId w15:val="{73EC3D22-D010-4F69-B6CB-234B58C0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AB"/>
  </w:style>
  <w:style w:type="paragraph" w:styleId="Ttulo1">
    <w:name w:val="heading 1"/>
    <w:basedOn w:val="Normal"/>
    <w:next w:val="Normal"/>
    <w:link w:val="Ttulo1Car"/>
    <w:uiPriority w:val="9"/>
    <w:qFormat/>
    <w:rsid w:val="00BF0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0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F06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06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06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06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06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06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06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06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06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F06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06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06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06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06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06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0676"/>
    <w:rPr>
      <w:rFonts w:eastAsiaTheme="majorEastAsia" w:cstheme="majorBidi"/>
      <w:color w:val="272727" w:themeColor="text1" w:themeTint="D8"/>
    </w:rPr>
  </w:style>
  <w:style w:type="paragraph" w:styleId="Ttulo">
    <w:name w:val="Title"/>
    <w:basedOn w:val="Normal"/>
    <w:next w:val="Normal"/>
    <w:link w:val="TtuloCar"/>
    <w:uiPriority w:val="10"/>
    <w:qFormat/>
    <w:rsid w:val="00BF0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06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06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06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0676"/>
    <w:pPr>
      <w:spacing w:before="160"/>
      <w:jc w:val="center"/>
    </w:pPr>
    <w:rPr>
      <w:i/>
      <w:iCs/>
      <w:color w:val="404040" w:themeColor="text1" w:themeTint="BF"/>
    </w:rPr>
  </w:style>
  <w:style w:type="character" w:customStyle="1" w:styleId="CitaCar">
    <w:name w:val="Cita Car"/>
    <w:basedOn w:val="Fuentedeprrafopredeter"/>
    <w:link w:val="Cita"/>
    <w:uiPriority w:val="29"/>
    <w:rsid w:val="00BF0676"/>
    <w:rPr>
      <w:i/>
      <w:iCs/>
      <w:color w:val="404040" w:themeColor="text1" w:themeTint="BF"/>
    </w:rPr>
  </w:style>
  <w:style w:type="paragraph" w:styleId="Prrafodelista">
    <w:name w:val="List Paragraph"/>
    <w:basedOn w:val="Normal"/>
    <w:uiPriority w:val="34"/>
    <w:qFormat/>
    <w:rsid w:val="00BF0676"/>
    <w:pPr>
      <w:ind w:left="720"/>
      <w:contextualSpacing/>
    </w:pPr>
  </w:style>
  <w:style w:type="character" w:styleId="nfasisintenso">
    <w:name w:val="Intense Emphasis"/>
    <w:basedOn w:val="Fuentedeprrafopredeter"/>
    <w:uiPriority w:val="21"/>
    <w:qFormat/>
    <w:rsid w:val="00BF0676"/>
    <w:rPr>
      <w:i/>
      <w:iCs/>
      <w:color w:val="0F4761" w:themeColor="accent1" w:themeShade="BF"/>
    </w:rPr>
  </w:style>
  <w:style w:type="paragraph" w:styleId="Citadestacada">
    <w:name w:val="Intense Quote"/>
    <w:basedOn w:val="Normal"/>
    <w:next w:val="Normal"/>
    <w:link w:val="CitadestacadaCar"/>
    <w:uiPriority w:val="30"/>
    <w:qFormat/>
    <w:rsid w:val="00BF0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0676"/>
    <w:rPr>
      <w:i/>
      <w:iCs/>
      <w:color w:val="0F4761" w:themeColor="accent1" w:themeShade="BF"/>
    </w:rPr>
  </w:style>
  <w:style w:type="character" w:styleId="Referenciaintensa">
    <w:name w:val="Intense Reference"/>
    <w:basedOn w:val="Fuentedeprrafopredeter"/>
    <w:uiPriority w:val="32"/>
    <w:qFormat/>
    <w:rsid w:val="00BF0676"/>
    <w:rPr>
      <w:b/>
      <w:bCs/>
      <w:smallCaps/>
      <w:color w:val="0F4761" w:themeColor="accent1" w:themeShade="BF"/>
      <w:spacing w:val="5"/>
    </w:rPr>
  </w:style>
  <w:style w:type="paragraph" w:styleId="Encabezado">
    <w:name w:val="header"/>
    <w:basedOn w:val="Normal"/>
    <w:link w:val="EncabezadoCar"/>
    <w:uiPriority w:val="99"/>
    <w:unhideWhenUsed/>
    <w:rsid w:val="00BF06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676"/>
  </w:style>
  <w:style w:type="paragraph" w:styleId="Piedepgina">
    <w:name w:val="footer"/>
    <w:basedOn w:val="Normal"/>
    <w:link w:val="PiedepginaCar"/>
    <w:uiPriority w:val="99"/>
    <w:unhideWhenUsed/>
    <w:rsid w:val="00BF06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676"/>
  </w:style>
  <w:style w:type="character" w:styleId="Hipervnculo">
    <w:name w:val="Hyperlink"/>
    <w:basedOn w:val="Fuentedeprrafopredeter"/>
    <w:uiPriority w:val="99"/>
    <w:unhideWhenUsed/>
    <w:rsid w:val="00BF0676"/>
    <w:rPr>
      <w:color w:val="467886" w:themeColor="hyperlink"/>
      <w:u w:val="single"/>
    </w:rPr>
  </w:style>
  <w:style w:type="character" w:styleId="Mencinsinresolver">
    <w:name w:val="Unresolved Mention"/>
    <w:basedOn w:val="Fuentedeprrafopredeter"/>
    <w:uiPriority w:val="99"/>
    <w:semiHidden/>
    <w:unhideWhenUsed/>
    <w:rsid w:val="00BF0676"/>
    <w:rPr>
      <w:color w:val="605E5C"/>
      <w:shd w:val="clear" w:color="auto" w:fill="E1DFDD"/>
    </w:rPr>
  </w:style>
  <w:style w:type="table" w:styleId="Tablaconcuadrcula">
    <w:name w:val="Table Grid"/>
    <w:basedOn w:val="Tablanormal"/>
    <w:uiPriority w:val="39"/>
    <w:rsid w:val="00CF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347">
      <w:bodyDiv w:val="1"/>
      <w:marLeft w:val="0"/>
      <w:marRight w:val="0"/>
      <w:marTop w:val="0"/>
      <w:marBottom w:val="0"/>
      <w:divBdr>
        <w:top w:val="none" w:sz="0" w:space="0" w:color="auto"/>
        <w:left w:val="none" w:sz="0" w:space="0" w:color="auto"/>
        <w:bottom w:val="none" w:sz="0" w:space="0" w:color="auto"/>
        <w:right w:val="none" w:sz="0" w:space="0" w:color="auto"/>
      </w:divBdr>
      <w:divsChild>
        <w:div w:id="1238638154">
          <w:marLeft w:val="0"/>
          <w:marRight w:val="0"/>
          <w:marTop w:val="0"/>
          <w:marBottom w:val="0"/>
          <w:divBdr>
            <w:top w:val="none" w:sz="0" w:space="0" w:color="auto"/>
            <w:left w:val="none" w:sz="0" w:space="0" w:color="auto"/>
            <w:bottom w:val="none" w:sz="0" w:space="0" w:color="auto"/>
            <w:right w:val="none" w:sz="0" w:space="0" w:color="auto"/>
          </w:divBdr>
          <w:divsChild>
            <w:div w:id="3179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9117">
      <w:bodyDiv w:val="1"/>
      <w:marLeft w:val="0"/>
      <w:marRight w:val="0"/>
      <w:marTop w:val="0"/>
      <w:marBottom w:val="0"/>
      <w:divBdr>
        <w:top w:val="none" w:sz="0" w:space="0" w:color="auto"/>
        <w:left w:val="none" w:sz="0" w:space="0" w:color="auto"/>
        <w:bottom w:val="none" w:sz="0" w:space="0" w:color="auto"/>
        <w:right w:val="none" w:sz="0" w:space="0" w:color="auto"/>
      </w:divBdr>
    </w:div>
    <w:div w:id="171532036">
      <w:bodyDiv w:val="1"/>
      <w:marLeft w:val="0"/>
      <w:marRight w:val="0"/>
      <w:marTop w:val="0"/>
      <w:marBottom w:val="0"/>
      <w:divBdr>
        <w:top w:val="none" w:sz="0" w:space="0" w:color="auto"/>
        <w:left w:val="none" w:sz="0" w:space="0" w:color="auto"/>
        <w:bottom w:val="none" w:sz="0" w:space="0" w:color="auto"/>
        <w:right w:val="none" w:sz="0" w:space="0" w:color="auto"/>
      </w:divBdr>
    </w:div>
    <w:div w:id="220603814">
      <w:bodyDiv w:val="1"/>
      <w:marLeft w:val="0"/>
      <w:marRight w:val="0"/>
      <w:marTop w:val="0"/>
      <w:marBottom w:val="0"/>
      <w:divBdr>
        <w:top w:val="none" w:sz="0" w:space="0" w:color="auto"/>
        <w:left w:val="none" w:sz="0" w:space="0" w:color="auto"/>
        <w:bottom w:val="none" w:sz="0" w:space="0" w:color="auto"/>
        <w:right w:val="none" w:sz="0" w:space="0" w:color="auto"/>
      </w:divBdr>
    </w:div>
    <w:div w:id="653681553">
      <w:bodyDiv w:val="1"/>
      <w:marLeft w:val="0"/>
      <w:marRight w:val="0"/>
      <w:marTop w:val="0"/>
      <w:marBottom w:val="0"/>
      <w:divBdr>
        <w:top w:val="none" w:sz="0" w:space="0" w:color="auto"/>
        <w:left w:val="none" w:sz="0" w:space="0" w:color="auto"/>
        <w:bottom w:val="none" w:sz="0" w:space="0" w:color="auto"/>
        <w:right w:val="none" w:sz="0" w:space="0" w:color="auto"/>
      </w:divBdr>
      <w:divsChild>
        <w:div w:id="853350576">
          <w:marLeft w:val="0"/>
          <w:marRight w:val="0"/>
          <w:marTop w:val="0"/>
          <w:marBottom w:val="0"/>
          <w:divBdr>
            <w:top w:val="none" w:sz="0" w:space="0" w:color="auto"/>
            <w:left w:val="none" w:sz="0" w:space="0" w:color="auto"/>
            <w:bottom w:val="none" w:sz="0" w:space="0" w:color="auto"/>
            <w:right w:val="none" w:sz="0" w:space="0" w:color="auto"/>
          </w:divBdr>
          <w:divsChild>
            <w:div w:id="5942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ane.gov.co/index.php/estadisticas-por-tema/demografia-y-poblacion/proyecciones-de-poblac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anielamesan/Proyecto-IET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MESA SANCHEZ</dc:creator>
  <cp:keywords/>
  <dc:description/>
  <cp:lastModifiedBy>DANIELA ANDREA MESA SANCHEZ</cp:lastModifiedBy>
  <cp:revision>28</cp:revision>
  <dcterms:created xsi:type="dcterms:W3CDTF">2025-05-19T03:47:00Z</dcterms:created>
  <dcterms:modified xsi:type="dcterms:W3CDTF">2025-05-19T09:34:00Z</dcterms:modified>
</cp:coreProperties>
</file>