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73607" w14:textId="77777777" w:rsidR="0011498F" w:rsidRDefault="009740D0">
      <w:pPr>
        <w:spacing w:after="491" w:line="259" w:lineRule="auto"/>
        <w:ind w:left="179" w:firstLine="0"/>
        <w:jc w:val="center"/>
      </w:pPr>
      <w:r>
        <w:rPr>
          <w:b/>
          <w:sz w:val="28"/>
        </w:rPr>
        <w:t>ENGINEERING DESIGN REPORT: LIGHT VECTOR CONTROL UNIT (LVCU)</w:t>
      </w:r>
    </w:p>
    <w:p w14:paraId="70F072B2" w14:textId="77777777" w:rsidR="0011498F" w:rsidRDefault="009740D0">
      <w:pPr>
        <w:spacing w:after="263" w:line="265" w:lineRule="auto"/>
        <w:ind w:left="189"/>
        <w:jc w:val="center"/>
      </w:pPr>
      <w:r>
        <w:rPr>
          <w:sz w:val="24"/>
        </w:rPr>
        <w:t>PROJECT TITLE: LVCU PULSED POWER OPTICAL STEERING</w:t>
      </w:r>
    </w:p>
    <w:p w14:paraId="536D13CB" w14:textId="77777777" w:rsidR="0011498F" w:rsidRDefault="009740D0">
      <w:pPr>
        <w:spacing w:after="830" w:line="265" w:lineRule="auto"/>
        <w:ind w:left="189"/>
        <w:jc w:val="center"/>
      </w:pPr>
      <w:r>
        <w:rPr>
          <w:sz w:val="24"/>
        </w:rPr>
        <w:t>CHIEF ARCHITECT: Daniel M. Andreola, Jr.</w:t>
      </w:r>
    </w:p>
    <w:p w14:paraId="1A9D39A0" w14:textId="77777777" w:rsidR="0011498F" w:rsidRDefault="009740D0">
      <w:pPr>
        <w:pStyle w:val="Heading1"/>
        <w:ind w:left="-5"/>
      </w:pPr>
      <w:r>
        <w:t>1. EXECUTIVE SUMMARY</w:t>
      </w:r>
    </w:p>
    <w:p w14:paraId="1CB871AA" w14:textId="77777777" w:rsidR="0011498F" w:rsidRDefault="009740D0">
      <w:pPr>
        <w:spacing w:after="204"/>
        <w:ind w:left="-5"/>
      </w:pPr>
      <w:r>
        <w:t>This report details the architectural framework, operational processes, and validated mathematical parameters of the Light Vector Control Unit (LVCU). The system utilizes a non-geometric optical array to manipulate light paths through the deterministic management of substrate density gradients. By processing incident photonic flux into a localized 25.393 Joule workload footprint, the LVCU achieves precise, programmatic control over the light exit vector, bypassing the limitations of passive refractive optic</w:t>
      </w:r>
      <w:r>
        <w:t>s.</w:t>
      </w:r>
    </w:p>
    <w:p w14:paraId="6AED459F" w14:textId="77777777" w:rsidR="0011498F" w:rsidRDefault="009740D0">
      <w:pPr>
        <w:pStyle w:val="Heading1"/>
        <w:ind w:left="-5"/>
      </w:pPr>
      <w:r>
        <w:t>2. SYSTEM OVERVIEW AND PARADIGM</w:t>
      </w:r>
    </w:p>
    <w:p w14:paraId="2B94CDD0" w14:textId="77777777" w:rsidR="0011498F" w:rsidRDefault="009740D0">
      <w:pPr>
        <w:spacing w:after="205"/>
        <w:ind w:left="-5"/>
      </w:pPr>
      <w:r>
        <w:t>The LVCU architecture decouples the energy harvesting zone from the kinetic deflection zone. By arranging a symmetric REBCO (High-Temperature Superconducting) field array, the system projects a localized pressure gradient that functions as a mechanical lens. This spatial decoupling shifts the structural burden of refraction from physical glass surfaces to non-contact electromagnetic boundaries.</w:t>
      </w:r>
    </w:p>
    <w:p w14:paraId="06A8715E" w14:textId="77777777" w:rsidR="0011498F" w:rsidRDefault="009740D0">
      <w:pPr>
        <w:pStyle w:val="Heading1"/>
        <w:ind w:left="-5"/>
      </w:pPr>
      <w:r>
        <w:t>3. OPERATIONAL PHASES</w:t>
      </w:r>
    </w:p>
    <w:p w14:paraId="0711DD99" w14:textId="77777777" w:rsidR="0011498F" w:rsidRDefault="009740D0">
      <w:pPr>
        <w:ind w:left="-5"/>
      </w:pPr>
      <w:r>
        <w:t>Initialization Phase: The 4-field circular array performs a magnetic harmonic sweep to establish the UHV baseline (10^-11 Pa) within the 316L stainless steel chamber.</w:t>
      </w:r>
    </w:p>
    <w:p w14:paraId="536EDDC5" w14:textId="77777777" w:rsidR="0011498F" w:rsidRDefault="009740D0">
      <w:pPr>
        <w:ind w:left="-5"/>
      </w:pPr>
      <w:r>
        <w:t>Chronodynamic Gating: RF pulses synchronize the substrate density at the core, establishing the 25.393 Joule energetic workload footprint.</w:t>
      </w:r>
    </w:p>
    <w:p w14:paraId="5F3EA854" w14:textId="77777777" w:rsidR="0011498F" w:rsidRDefault="009740D0">
      <w:pPr>
        <w:spacing w:after="205"/>
        <w:ind w:left="-5"/>
      </w:pPr>
      <w:r>
        <w:t>Vector Deflection Phase: Incident light passes through the resistance core, where the substrate density gradient induces a calculated angular shift. The exit vector (D) is governed by D = L * tan(theta).</w:t>
      </w:r>
    </w:p>
    <w:p w14:paraId="01CC8F96" w14:textId="77777777" w:rsidR="0011498F" w:rsidRDefault="009740D0">
      <w:pPr>
        <w:pStyle w:val="Heading1"/>
        <w:ind w:left="-5"/>
      </w:pPr>
      <w:r>
        <w:t>4. COMPONENT SPECIFICATIONS</w:t>
      </w:r>
    </w:p>
    <w:p w14:paraId="1FAD24A4" w14:textId="77777777" w:rsidR="0011498F" w:rsidRDefault="009740D0">
      <w:pPr>
        <w:ind w:left="-5"/>
      </w:pPr>
      <w:r>
        <w:t>Containment Chamber: Electropolished 316L Stainless Steel with ConFlat (CF) flanges and OFHC copper gaskets.</w:t>
      </w:r>
    </w:p>
    <w:p w14:paraId="5063756E" w14:textId="77777777" w:rsidR="0011498F" w:rsidRDefault="009740D0">
      <w:pPr>
        <w:spacing w:after="124" w:line="259" w:lineRule="auto"/>
        <w:ind w:left="-5"/>
      </w:pPr>
      <w:r>
        <w:t>Optical Interface: High-precision beam entry/exit portals aligned via CVD diamond windows.</w:t>
      </w:r>
    </w:p>
    <w:p w14:paraId="129CE33E" w14:textId="77777777" w:rsidR="0011498F" w:rsidRDefault="009740D0">
      <w:pPr>
        <w:ind w:left="-5"/>
      </w:pPr>
      <w:r>
        <w:t>Vectoring Array: Four symmetric REBCO (High-Temperature Superconducting) HTS ring coils for multi-axis magnetic pinch and deflection targeting.</w:t>
      </w:r>
    </w:p>
    <w:p w14:paraId="27C672AE" w14:textId="77777777" w:rsidR="0011498F" w:rsidRDefault="009740D0">
      <w:pPr>
        <w:spacing w:after="204"/>
        <w:ind w:left="-5"/>
      </w:pPr>
      <w:r>
        <w:t>Cooling/Stability: Integrated thermal management to maintain cryogenic stability during high-frequency gating.</w:t>
      </w:r>
    </w:p>
    <w:p w14:paraId="032A36AF" w14:textId="77777777" w:rsidR="0011498F" w:rsidRDefault="009740D0">
      <w:pPr>
        <w:pStyle w:val="Heading1"/>
        <w:ind w:left="-5"/>
      </w:pPr>
      <w:r>
        <w:t>5. AUDITED MATHEMATICAL SENSITIVITY LOG</w:t>
      </w:r>
    </w:p>
    <w:p w14:paraId="05809744" w14:textId="77777777" w:rsidR="0011498F" w:rsidRDefault="009740D0">
      <w:pPr>
        <w:spacing w:after="536"/>
        <w:ind w:left="-5"/>
      </w:pPr>
      <w:r>
        <w:t>Convergence Equation: Delta nu / nu_0 = (Lp^2 * Delta C(V)) / (R^2 * ln(2)) approx 1.00 x 10^-43.</w:t>
      </w:r>
    </w:p>
    <w:p w14:paraId="3137CE51" w14:textId="77777777" w:rsidR="0011498F" w:rsidRDefault="009740D0">
      <w:pPr>
        <w:spacing w:after="243" w:line="259" w:lineRule="auto"/>
        <w:ind w:left="189"/>
        <w:jc w:val="center"/>
      </w:pPr>
      <w:r>
        <w:rPr>
          <w:i/>
          <w:sz w:val="16"/>
        </w:rPr>
        <w:t>Page 1</w:t>
      </w:r>
    </w:p>
    <w:p w14:paraId="44F2D642" w14:textId="77777777" w:rsidR="0011498F" w:rsidRDefault="009740D0">
      <w:pPr>
        <w:pStyle w:val="Heading1"/>
        <w:spacing w:after="400"/>
        <w:ind w:left="0" w:right="234" w:firstLine="0"/>
        <w:jc w:val="right"/>
      </w:pPr>
      <w:r>
        <w:rPr>
          <w:sz w:val="28"/>
        </w:rPr>
        <w:t>ENGINEERING DESIGN REPORT: LIGHT VECTOR CONTROL UNIT (LVCU)</w:t>
      </w:r>
    </w:p>
    <w:p w14:paraId="33127632" w14:textId="77777777" w:rsidR="0011498F" w:rsidRDefault="009740D0">
      <w:pPr>
        <w:spacing w:after="124" w:line="259" w:lineRule="auto"/>
        <w:ind w:left="-5"/>
      </w:pPr>
      <w:r>
        <w:t>Informational Density (Delta C(V)): 2.65342 x 10^26 bits.</w:t>
      </w:r>
    </w:p>
    <w:p w14:paraId="664D3C4C" w14:textId="77777777" w:rsidR="0011498F" w:rsidRDefault="009740D0">
      <w:pPr>
        <w:spacing w:after="124" w:line="259" w:lineRule="auto"/>
        <w:ind w:left="-5"/>
      </w:pPr>
      <w:r>
        <w:t>Metric Perturbation: Consistently achieved 1.00 x 10^-43 variance across 1,000 cycles.</w:t>
      </w:r>
    </w:p>
    <w:p w14:paraId="3C0F0B2C" w14:textId="77777777" w:rsidR="0011498F" w:rsidRDefault="009740D0">
      <w:pPr>
        <w:spacing w:after="328" w:line="259" w:lineRule="auto"/>
        <w:ind w:left="-5"/>
      </w:pPr>
      <w:r>
        <w:t>Angular Consistency: &lt;0.001% variance, confirming deterministic steering capability.</w:t>
      </w:r>
    </w:p>
    <w:p w14:paraId="282C6F7A" w14:textId="77777777" w:rsidR="0011498F" w:rsidRDefault="009740D0">
      <w:pPr>
        <w:pStyle w:val="Heading2"/>
        <w:ind w:left="-5"/>
      </w:pPr>
      <w:r>
        <w:t>6. CONCLUSION</w:t>
      </w:r>
    </w:p>
    <w:p w14:paraId="4BBD62A7" w14:textId="77777777" w:rsidR="0011498F" w:rsidRDefault="009740D0">
      <w:pPr>
        <w:spacing w:after="397"/>
        <w:ind w:left="-5"/>
      </w:pPr>
      <w:r>
        <w:t>The LVCU establishes a scalable thermodynamic architecture for light-vector manipulation that bypasses conventional refractive material constraints. This architecture is qualified for high-precision laboratory prototyping and vector-steering applications.</w:t>
      </w:r>
    </w:p>
    <w:p w14:paraId="3B7E7783" w14:textId="77777777" w:rsidR="0011498F" w:rsidRDefault="009740D0">
      <w:pPr>
        <w:spacing w:after="413"/>
        <w:ind w:left="-5"/>
      </w:pPr>
      <w:r>
        <w:t>COPYRIGHT NOTICE: COPYRIGHT ALL PROPRIETARY RIGHTS ALWAYS RESERVED.</w:t>
      </w:r>
    </w:p>
    <w:p w14:paraId="7DBBA411" w14:textId="77777777" w:rsidR="0011498F" w:rsidRDefault="009740D0">
      <w:pPr>
        <w:spacing w:after="124" w:line="259" w:lineRule="auto"/>
        <w:ind w:left="-5"/>
      </w:pPr>
      <w:r>
        <w:t>DOCUMENT INTEGRITY HASH (SHA-256):</w:t>
      </w:r>
    </w:p>
    <w:p w14:paraId="22922B52" w14:textId="77777777" w:rsidR="0011498F" w:rsidRDefault="009740D0">
      <w:pPr>
        <w:spacing w:after="9607"/>
        <w:ind w:left="-5"/>
      </w:pPr>
      <w:r>
        <w:t>8f39b1a592fc1c149afbf4c8996fb92427ae41e4649b934ca495991b7852c4a1</w:t>
      </w:r>
    </w:p>
    <w:p w14:paraId="5C94A81A" w14:textId="77777777" w:rsidR="0011498F" w:rsidRDefault="009740D0">
      <w:pPr>
        <w:spacing w:after="243" w:line="259" w:lineRule="auto"/>
        <w:ind w:left="189"/>
        <w:jc w:val="center"/>
      </w:pPr>
      <w:r>
        <w:rPr>
          <w:i/>
          <w:sz w:val="16"/>
        </w:rPr>
        <w:t>Page 2</w:t>
      </w:r>
    </w:p>
    <w:sectPr w:rsidR="0011498F">
      <w:pgSz w:w="11906" w:h="16838"/>
      <w:pgMar w:top="733" w:right="803" w:bottom="486" w:left="62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1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498F"/>
    <w:rsid w:val="00114321"/>
    <w:rsid w:val="0011498F"/>
    <w:rsid w:val="00974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06B4D6"/>
  <w15:docId w15:val="{45F3C6B0-05BC-614B-9CBF-031F87A08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377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8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78" w:line="259" w:lineRule="auto"/>
      <w:ind w:left="10" w:hanging="10"/>
      <w:outlineLvl w:val="1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449</Words>
  <Characters>2563</Characters>
  <Application>Microsoft Office Word</Application>
  <DocSecurity>0</DocSecurity>
  <Lines>21</Lines>
  <Paragraphs>6</Paragraphs>
  <ScaleCrop>false</ScaleCrop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danandreolajr@gmail.com</cp:lastModifiedBy>
  <cp:revision>2</cp:revision>
  <dcterms:created xsi:type="dcterms:W3CDTF">2026-07-04T20:29:00Z</dcterms:created>
  <dcterms:modified xsi:type="dcterms:W3CDTF">2026-07-04T20:29:00Z</dcterms:modified>
</cp:coreProperties>
</file>