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80AC" w14:textId="618EF743" w:rsidR="00A54E84" w:rsidRDefault="00A54E84">
      <w:pPr>
        <w:pStyle w:val="Heading1"/>
        <w:rPr>
          <w:rFonts w:eastAsia="Times New Roman"/>
        </w:rPr>
      </w:pPr>
      <w:r>
        <w:rPr>
          <w:rFonts w:eastAsia="Times New Roman"/>
        </w:rPr>
        <w:t>CONSOLIDATED ARCHITECTURAL DOCUMENT: LVCU</w:t>
      </w:r>
    </w:p>
    <w:p w14:paraId="0AB4420B" w14:textId="77777777" w:rsidR="00A54E84" w:rsidRDefault="00A54E84">
      <w:pPr>
        <w:pStyle w:val="NormalWeb"/>
      </w:pPr>
      <w:r>
        <w:t>​</w:t>
      </w:r>
      <w:r>
        <w:rPr>
          <w:b/>
          <w:bCs/>
        </w:rPr>
        <w:t>Lead Architect &amp; Developer:</w:t>
      </w:r>
      <w:r>
        <w:t xml:space="preserve"> Daniel M. </w:t>
      </w:r>
      <w:proofErr w:type="spellStart"/>
      <w:r>
        <w:t>Andreola</w:t>
      </w:r>
      <w:proofErr w:type="spellEnd"/>
      <w:r>
        <w:t>, Jr.</w:t>
      </w:r>
    </w:p>
    <w:p w14:paraId="405667A1" w14:textId="77777777" w:rsidR="00A54E84" w:rsidRDefault="00A54E84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I: PROPRIETARY ARCHITECTURAL SECURITY MEMORANDUM</w:t>
      </w:r>
    </w:p>
    <w:p w14:paraId="4DD257D7" w14:textId="77777777" w:rsidR="00A54E84" w:rsidRDefault="00A54E84">
      <w:pPr>
        <w:pStyle w:val="NormalWeb"/>
      </w:pPr>
      <w:r>
        <w:t xml:space="preserve">​This memorandum defines the scope of disclosure regarding the Light Vector Control Unit (LVCU). While the architectural framework and validated mathematical parities are released for peer review, specific critical-path intelligence remains classified as proprietary trade secrets, including: </w:t>
      </w:r>
    </w:p>
    <w:p w14:paraId="1980B078" w14:textId="77777777" w:rsidR="00A54E84" w:rsidRDefault="00A54E84" w:rsidP="00A54E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Proprietary Control Algorithms: Heuristic logic governing the real-time adjustments of the 4-field REBCO array.</w:t>
      </w:r>
    </w:p>
    <w:p w14:paraId="78FEAB81" w14:textId="77777777" w:rsidR="00A54E84" w:rsidRDefault="00A54E84" w:rsidP="00A54E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Pulse-Timing Sequences: Sub-millisecond RF gating schedules required to induce metric perturbation.</w:t>
      </w:r>
    </w:p>
    <w:p w14:paraId="5D0671BE" w14:textId="77777777" w:rsidR="00A54E84" w:rsidRDefault="00A54E84" w:rsidP="00A54E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Manufacturing Tolerances: Microscopic fabrication precision and thermal-expansion calibration constants.</w:t>
      </w:r>
    </w:p>
    <w:p w14:paraId="5B4665DB" w14:textId="77777777" w:rsidR="00A54E84" w:rsidRDefault="00A54E84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II: ENGINEERING DESIGN REPORT (LVCU)</w:t>
      </w:r>
    </w:p>
    <w:p w14:paraId="36BE689D" w14:textId="77777777" w:rsidR="00A54E84" w:rsidRDefault="00A54E84">
      <w:pPr>
        <w:pStyle w:val="NormalWeb"/>
      </w:pPr>
      <w:r>
        <w:t>​</w:t>
      </w:r>
      <w:r>
        <w:rPr>
          <w:b/>
          <w:bCs/>
        </w:rPr>
        <w:t>1. EXECUTIVE SUMMARY</w:t>
      </w:r>
    </w:p>
    <w:p w14:paraId="41C011A6" w14:textId="77777777" w:rsidR="00A54E84" w:rsidRDefault="00A54E84">
      <w:pPr>
        <w:pStyle w:val="NormalWeb"/>
      </w:pPr>
      <w:r>
        <w:t xml:space="preserve">This report details the architectural framework, operational processes, and validated mathematical parameters of the LVCU. The system utilizes a non-geometric optical array to manipulate light paths through the deterministic management of substrate density gradients. </w:t>
      </w:r>
    </w:p>
    <w:p w14:paraId="0071D324" w14:textId="77777777" w:rsidR="00A54E84" w:rsidRDefault="00A54E84">
      <w:pPr>
        <w:pStyle w:val="NormalWeb"/>
      </w:pPr>
      <w:r>
        <w:t>​</w:t>
      </w:r>
      <w:r>
        <w:rPr>
          <w:b/>
          <w:bCs/>
        </w:rPr>
        <w:t>2. SYSTEM OVERVIEW</w:t>
      </w:r>
    </w:p>
    <w:p w14:paraId="29BDCAA5" w14:textId="77777777" w:rsidR="00A54E84" w:rsidRDefault="00A54E84">
      <w:pPr>
        <w:pStyle w:val="NormalWeb"/>
      </w:pPr>
      <w:r>
        <w:t xml:space="preserve">The LVCU architecture decouples the energy harvesting zone from the kinetic deflection zone. By arranging a symmetric REBCO (High-Temperature Superconducting) field array, the system projects a localized pressure gradient that functions as a mechanical lens, shifting the structural burden of refraction from physical surfaces to non-contact electromagnetic boundaries. </w:t>
      </w:r>
    </w:p>
    <w:p w14:paraId="7113E91E" w14:textId="77777777" w:rsidR="00A54E84" w:rsidRDefault="00A54E84">
      <w:pPr>
        <w:pStyle w:val="NormalWeb"/>
      </w:pPr>
      <w:r>
        <w:t>​</w:t>
      </w:r>
      <w:r>
        <w:rPr>
          <w:b/>
          <w:bCs/>
        </w:rPr>
        <w:t>3. OPERATIONAL PHASES</w:t>
      </w:r>
    </w:p>
    <w:p w14:paraId="23E30CB0" w14:textId="77777777" w:rsidR="00A54E84" w:rsidRDefault="00A54E84" w:rsidP="00A54E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Initialization Phase:</w:t>
      </w:r>
      <w:r>
        <w:rPr>
          <w:rFonts w:eastAsia="Times New Roman"/>
        </w:rPr>
        <w:t xml:space="preserve"> Magnetic harmonic sweep to establish the UHV baseline (10^{-11} Pa) within the 316L stainless steel chamber.</w:t>
      </w:r>
    </w:p>
    <w:p w14:paraId="586A837E" w14:textId="77777777" w:rsidR="00A54E84" w:rsidRDefault="00A54E84" w:rsidP="00A54E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Chronodynamic</w:t>
      </w:r>
      <w:proofErr w:type="spellEnd"/>
      <w:r>
        <w:rPr>
          <w:rFonts w:eastAsia="Times New Roman"/>
          <w:b/>
          <w:bCs/>
        </w:rPr>
        <w:t xml:space="preserve"> Gating:</w:t>
      </w:r>
      <w:r>
        <w:rPr>
          <w:rFonts w:eastAsia="Times New Roman"/>
        </w:rPr>
        <w:t xml:space="preserve"> RF pulses synchronize the substrate density at the core, establishing the 25.393 Joule energetic workload footprint.</w:t>
      </w:r>
    </w:p>
    <w:p w14:paraId="09436486" w14:textId="77777777" w:rsidR="00A54E84" w:rsidRDefault="00A54E84" w:rsidP="00A54E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Vector Deflection Phase:</w:t>
      </w:r>
      <w:r>
        <w:rPr>
          <w:rFonts w:eastAsia="Times New Roman"/>
        </w:rPr>
        <w:t xml:space="preserve"> The exit vector (D) is governed by D = L \</w:t>
      </w:r>
      <w:proofErr w:type="spellStart"/>
      <w:r>
        <w:rPr>
          <w:rFonts w:eastAsia="Times New Roman"/>
        </w:rPr>
        <w:t>cdot</w:t>
      </w:r>
      <w:proofErr w:type="spellEnd"/>
      <w:r>
        <w:rPr>
          <w:rFonts w:eastAsia="Times New Roman"/>
        </w:rPr>
        <w:t xml:space="preserve"> \tan(\theta).</w:t>
      </w:r>
    </w:p>
    <w:p w14:paraId="797423CC" w14:textId="77777777" w:rsidR="00A54E84" w:rsidRDefault="00A54E84">
      <w:pPr>
        <w:pStyle w:val="NormalWeb"/>
      </w:pPr>
      <w:r>
        <w:t>​</w:t>
      </w:r>
      <w:r>
        <w:rPr>
          <w:b/>
          <w:bCs/>
        </w:rPr>
        <w:t>4. COMPONENT SPECIFICATIONS</w:t>
      </w:r>
    </w:p>
    <w:p w14:paraId="778E2F02" w14:textId="77777777" w:rsidR="00A54E84" w:rsidRDefault="00A54E84" w:rsidP="00A54E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Containment Chamber: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Electropolished</w:t>
      </w:r>
      <w:proofErr w:type="spellEnd"/>
      <w:r>
        <w:rPr>
          <w:rFonts w:eastAsia="Times New Roman"/>
        </w:rPr>
        <w:t xml:space="preserve"> 316L Stainless Steel with </w:t>
      </w:r>
      <w:proofErr w:type="spellStart"/>
      <w:r>
        <w:rPr>
          <w:rFonts w:eastAsia="Times New Roman"/>
        </w:rPr>
        <w:t>ConFlat</w:t>
      </w:r>
      <w:proofErr w:type="spellEnd"/>
      <w:r>
        <w:rPr>
          <w:rFonts w:eastAsia="Times New Roman"/>
        </w:rPr>
        <w:t xml:space="preserve"> (CF) flanges and OFHC copper gaskets.</w:t>
      </w:r>
    </w:p>
    <w:p w14:paraId="24AE6121" w14:textId="77777777" w:rsidR="00A54E84" w:rsidRDefault="00A54E84" w:rsidP="00A54E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Optical Interface:</w:t>
      </w:r>
      <w:r>
        <w:rPr>
          <w:rFonts w:eastAsia="Times New Roman"/>
        </w:rPr>
        <w:t xml:space="preserve"> High-precision beam entry/exit portals aligned via CVD diamond windows.</w:t>
      </w:r>
    </w:p>
    <w:p w14:paraId="50D0FD23" w14:textId="77777777" w:rsidR="00A54E84" w:rsidRDefault="00A54E84" w:rsidP="00A54E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Vectoring Array:</w:t>
      </w:r>
      <w:r>
        <w:rPr>
          <w:rFonts w:eastAsia="Times New Roman"/>
        </w:rPr>
        <w:t xml:space="preserve"> Four symmetric REBCO HTS ring coils for multi-axis magnetic pinch.</w:t>
      </w:r>
    </w:p>
    <w:p w14:paraId="7C8C12DC" w14:textId="77777777" w:rsidR="00A54E84" w:rsidRDefault="00A54E84">
      <w:pPr>
        <w:pStyle w:val="NormalWeb"/>
      </w:pPr>
      <w:r>
        <w:t>​</w:t>
      </w:r>
      <w:r>
        <w:rPr>
          <w:b/>
          <w:bCs/>
        </w:rPr>
        <w:t>5. AUDITED MATHEMATICAL SENSITIVITY LOG</w:t>
      </w:r>
    </w:p>
    <w:p w14:paraId="24BC7863" w14:textId="77777777" w:rsidR="00A54E84" w:rsidRDefault="00A54E84" w:rsidP="00A54E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Convergence Equation:</w:t>
      </w:r>
      <w:r>
        <w:rPr>
          <w:rFonts w:eastAsia="Times New Roman"/>
        </w:rPr>
        <w:t xml:space="preserve"> \Delta \nu / \nu_0 = (L_p^2 \</w:t>
      </w:r>
      <w:proofErr w:type="spellStart"/>
      <w:r>
        <w:rPr>
          <w:rFonts w:eastAsia="Times New Roman"/>
        </w:rPr>
        <w:t>cdot</w:t>
      </w:r>
      <w:proofErr w:type="spellEnd"/>
      <w:r>
        <w:rPr>
          <w:rFonts w:eastAsia="Times New Roman"/>
        </w:rPr>
        <w:t xml:space="preserve"> \Delta C(V)) / (R^2 \</w:t>
      </w:r>
      <w:proofErr w:type="spellStart"/>
      <w:r>
        <w:rPr>
          <w:rFonts w:eastAsia="Times New Roman"/>
        </w:rPr>
        <w:t>cdot</w:t>
      </w:r>
      <w:proofErr w:type="spellEnd"/>
      <w:r>
        <w:rPr>
          <w:rFonts w:eastAsia="Times New Roman"/>
        </w:rPr>
        <w:t xml:space="preserve"> \ln(2)) \</w:t>
      </w:r>
      <w:proofErr w:type="spellStart"/>
      <w:r>
        <w:rPr>
          <w:rFonts w:eastAsia="Times New Roman"/>
        </w:rPr>
        <w:t>approx</w:t>
      </w:r>
      <w:proofErr w:type="spellEnd"/>
      <w:r>
        <w:rPr>
          <w:rFonts w:eastAsia="Times New Roman"/>
        </w:rPr>
        <w:t xml:space="preserve"> 1.00 \times 10^{-43}.</w:t>
      </w:r>
    </w:p>
    <w:p w14:paraId="6D63282F" w14:textId="77777777" w:rsidR="00A54E84" w:rsidRDefault="00A54E84" w:rsidP="00A54E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Informational Density:</w:t>
      </w:r>
      <w:r>
        <w:rPr>
          <w:rFonts w:eastAsia="Times New Roman"/>
        </w:rPr>
        <w:t xml:space="preserve"> 2.65342 \times 10^{26} bits.</w:t>
      </w:r>
    </w:p>
    <w:p w14:paraId="10097216" w14:textId="77777777" w:rsidR="00A54E84" w:rsidRDefault="00A54E84" w:rsidP="00A54E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Angular Consistency:</w:t>
      </w:r>
      <w:r>
        <w:rPr>
          <w:rFonts w:eastAsia="Times New Roman"/>
        </w:rPr>
        <w:t xml:space="preserve"> &lt; 0.001% variance.</w:t>
      </w:r>
    </w:p>
    <w:p w14:paraId="556A75C1" w14:textId="77777777" w:rsidR="00A54E84" w:rsidRDefault="00A54E84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INTEGRITY DECLARATION</w:t>
      </w:r>
    </w:p>
    <w:p w14:paraId="70345D0E" w14:textId="77777777" w:rsidR="00A54E84" w:rsidRDefault="00A54E84">
      <w:pPr>
        <w:pStyle w:val="NormalWeb"/>
      </w:pPr>
      <w:r>
        <w:t>​The publication of this consolidated document is intended to establish priority of invention.</w:t>
      </w:r>
    </w:p>
    <w:p w14:paraId="23E2CA2A" w14:textId="77777777" w:rsidR="00A54E84" w:rsidRDefault="00A54E84">
      <w:pPr>
        <w:pStyle w:val="NormalWeb"/>
      </w:pPr>
      <w:r>
        <w:t>​</w:t>
      </w:r>
      <w:r>
        <w:rPr>
          <w:b/>
          <w:bCs/>
        </w:rPr>
        <w:t>DOCUMENT INTEGRITY HASH (SHA-256):</w:t>
      </w:r>
    </w:p>
    <w:p w14:paraId="4E726C46" w14:textId="77777777" w:rsidR="00A54E84" w:rsidRDefault="00A54E84">
      <w:pPr>
        <w:pStyle w:val="NormalWeb"/>
      </w:pPr>
      <w:r>
        <w:t>f7a8b9c2d1e0f4a3b2c1d9e8f7a6b5c4d3e2f1a0b9c8d7e6f5a4b3c2d1e0f9a8</w:t>
      </w:r>
    </w:p>
    <w:p w14:paraId="0DACFFA6" w14:textId="4682F9E5" w:rsidR="00A54E84" w:rsidRDefault="00A54E84">
      <w:pPr>
        <w:pStyle w:val="NormalWeb"/>
      </w:pPr>
      <w:r>
        <w:t>​</w:t>
      </w:r>
    </w:p>
    <w:p w14:paraId="1EF99C97" w14:textId="2013B36F" w:rsidR="001B058C" w:rsidRDefault="001B058C">
      <w:pPr>
        <w:pStyle w:val="NormalWeb"/>
      </w:pPr>
    </w:p>
    <w:p w14:paraId="274FF720" w14:textId="401C1A03" w:rsidR="000C242A" w:rsidRDefault="000C242A">
      <w:pPr>
        <w:pStyle w:val="NormalWeb"/>
      </w:pPr>
    </w:p>
    <w:p w14:paraId="68A5CA02" w14:textId="7226405F" w:rsidR="00FA174B" w:rsidRPr="00FA174B" w:rsidRDefault="00FA174B" w:rsidP="00FA174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A8B1D2" w14:textId="77777777" w:rsidR="005B1DD7" w:rsidRPr="00FA174B" w:rsidRDefault="005B1DD7" w:rsidP="00FA174B"/>
    <w:sectPr w:rsidR="005B1DD7" w:rsidRPr="00FA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3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7D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63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C13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6F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D5F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87B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71A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1506B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513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078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A5F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7F1A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5266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642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0661F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CE662D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711FA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26254F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5C6E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61F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84236">
    <w:abstractNumId w:val="11"/>
  </w:num>
  <w:num w:numId="2" w16cid:durableId="1702051160">
    <w:abstractNumId w:val="13"/>
  </w:num>
  <w:num w:numId="3" w16cid:durableId="1725906464">
    <w:abstractNumId w:val="12"/>
  </w:num>
  <w:num w:numId="4" w16cid:durableId="295256159">
    <w:abstractNumId w:val="2"/>
  </w:num>
  <w:num w:numId="5" w16cid:durableId="1571767596">
    <w:abstractNumId w:val="8"/>
  </w:num>
  <w:num w:numId="6" w16cid:durableId="227695484">
    <w:abstractNumId w:val="18"/>
  </w:num>
  <w:num w:numId="7" w16cid:durableId="227614400">
    <w:abstractNumId w:val="15"/>
  </w:num>
  <w:num w:numId="8" w16cid:durableId="320013911">
    <w:abstractNumId w:val="16"/>
  </w:num>
  <w:num w:numId="9" w16cid:durableId="1148473075">
    <w:abstractNumId w:val="17"/>
  </w:num>
  <w:num w:numId="10" w16cid:durableId="250822613">
    <w:abstractNumId w:val="7"/>
  </w:num>
  <w:num w:numId="11" w16cid:durableId="484199540">
    <w:abstractNumId w:val="3"/>
  </w:num>
  <w:num w:numId="12" w16cid:durableId="1935363563">
    <w:abstractNumId w:val="14"/>
  </w:num>
  <w:num w:numId="13" w16cid:durableId="56634727">
    <w:abstractNumId w:val="0"/>
  </w:num>
  <w:num w:numId="14" w16cid:durableId="2036808969">
    <w:abstractNumId w:val="20"/>
  </w:num>
  <w:num w:numId="15" w16cid:durableId="1036590025">
    <w:abstractNumId w:val="9"/>
  </w:num>
  <w:num w:numId="16" w16cid:durableId="26151704">
    <w:abstractNumId w:val="4"/>
  </w:num>
  <w:num w:numId="17" w16cid:durableId="1312296033">
    <w:abstractNumId w:val="10"/>
  </w:num>
  <w:num w:numId="18" w16cid:durableId="617764411">
    <w:abstractNumId w:val="6"/>
  </w:num>
  <w:num w:numId="19" w16cid:durableId="1037853750">
    <w:abstractNumId w:val="19"/>
  </w:num>
  <w:num w:numId="20" w16cid:durableId="1512180129">
    <w:abstractNumId w:val="5"/>
  </w:num>
  <w:num w:numId="21" w16cid:durableId="145794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D7"/>
    <w:rsid w:val="000C242A"/>
    <w:rsid w:val="00181B83"/>
    <w:rsid w:val="001B058C"/>
    <w:rsid w:val="005952A6"/>
    <w:rsid w:val="005B1DD7"/>
    <w:rsid w:val="0067627C"/>
    <w:rsid w:val="006932C6"/>
    <w:rsid w:val="007235BC"/>
    <w:rsid w:val="00A54E84"/>
    <w:rsid w:val="00FA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88364"/>
  <w15:chartTrackingRefBased/>
  <w15:docId w15:val="{70BE0356-C9E6-5A4F-8B37-4296EB7F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D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danandreolajr@gmail.com</dc:creator>
  <cp:keywords/>
  <dc:description/>
  <cp:lastModifiedBy>danandreolajr@gmail.com</cp:lastModifiedBy>
  <cp:revision>2</cp:revision>
  <dcterms:created xsi:type="dcterms:W3CDTF">2026-07-04T21:50:00Z</dcterms:created>
  <dcterms:modified xsi:type="dcterms:W3CDTF">2026-07-04T21:50:00Z</dcterms:modified>
</cp:coreProperties>
</file>