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>
      <w:pPr>
        <w:keepNext/>
        <w:spacing w:before="3400"/>
      </w:pPr>
      <w:r>
        <w:rPr>
          <w:rFonts w:ascii="Arial" w:hAnsi="Arial"/>
          <w:b w:val="0"/>
          <w:color w:val="000000"/>
          <w:sz w:val="22"/>
        </w:rPr>
        <w:t>Proyecto: Terreno Conectado, Decisiones en Tiempo Real</w:t>
        <w:br/>
        <w:t>Daniel Ávila y Raúl González | Corte: 16 de octubre de 2026</w:t>
      </w:r>
    </w:p>
    <w:tbl>
      <w:tblPr>
        <w:tblStyle w:val="Tablaconcuadrcula"/>
        <w:tblW w:w="151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137"/>
      </w:tblGrid>
      <w:tr w:rsidR="0003309E" w14:paraId="68853070" w14:textId="77777777" w:rsidTr="00C5122E">
        <w:trPr/>
        <w:tc>
          <w:tcPr>
            <w:tcW w:w="15137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1. Resumen avance Proyecto APT</w:t>
            </w:r>
          </w:p>
        </w:tc>
      </w:tr>
      <w:tr w:rsidR="0003309E" w14:paraId="104F9294" w14:textId="77777777" w:rsidTr="00C5122E">
        <w:trPr/>
        <w:tc>
          <w:tcPr>
            <w:tcW w:w="15137" w:type="dxa"/>
            <w:shd w:val="clear" w:color="auto" w:fill="D9E2F3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Resumen del avance frente a objetivos y evidencia verificable.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151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12643"/>
      </w:tblGrid>
      <w:tr w:rsidR="0003309E" w14:paraId="416C77F4" w14:textId="77777777" w:rsidTr="000A1331">
        <w:trPr/>
        <w:tc>
          <w:tcPr>
            <w:tcW w:w="249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Resumen de avance proyecto APT</w:t>
            </w:r>
          </w:p>
        </w:tc>
        <w:tc>
          <w:tcPr>
            <w:tcW w:w="12643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En Fase 2 pasamos de una propuesta conceptual a una demo funcional publicada por HTTPS. Implementamos autenticación y roles, captura local de inspecciones y fotos, cola persistente, sincronización idempotente, formularios Excel versionados, asignaciones por faena y rol, revisión por trabajador y exportación. React/Vite y Workbox sirven la PWA; Dexie guarda el trabajo en IndexedDB; NestJS aplica reglas y PostgreSQL 16 con RLS aísla empresas. La primera descarga y autenticación requieren conexión. Después, la captura usa los datos previamente disponibles en el dispositivo. La validación del release registra 401 pruebas (78 shared, 130 frontend, 190 backend y 3 infraestructura) y dos E2E dirigidos en otra ejecución. No se suman a una cifra de cobertura. También verificamos restauración aislada de DB y archivos y reinicio del VPS. No medimos todavía impacto en una faena real.</w:t>
            </w:r>
          </w:p>
        </w:tc>
      </w:tr>
      <w:tr w:rsidR="0003309E" w14:paraId="054DAFFB" w14:textId="77777777" w:rsidTr="000A1331">
        <w:trPr/>
        <w:tc>
          <w:tcPr>
            <w:tcW w:w="249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Objetivos</w:t>
            </w:r>
          </w:p>
        </w:tc>
        <w:tc>
          <w:tcPr>
            <w:tcW w:w="12643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Conservamos el objetivo general de diseñar y validar una plataforma de captura de datos para minería y construcción con conectividad intermitente. Avance: (1) problema y contexto fundamentados documentalmente; (2) arquitectura offline implementada; (3) aislamiento multiempresa implementado con RLS; (4) planificación y validación ejecutadas con pendientes explícitos de aceptación física. El prototipo se amplió a demo funcional. Esta evolución no equivale a certificación productiva ni acredita un modelo comercial de SaaS.</w:t>
            </w:r>
          </w:p>
        </w:tc>
      </w:tr>
      <w:tr w:rsidR="0003309E" w14:paraId="2FEF1C0D" w14:textId="77777777" w:rsidTr="000A1331">
        <w:trPr/>
        <w:tc>
          <w:tcPr>
            <w:tcW w:w="249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Metodología</w:t>
            </w:r>
          </w:p>
        </w:tc>
        <w:tc>
          <w:tcPr>
            <w:tcW w:w="12643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Aplicamos desarrollo iterativo e incremental con Spec Driven Development: requisito FR/NFR, spec, plan, tarea, código, prueba y evidencia. El tablero organiza trabajo por prioridad y responsable. Daniel se concentra en datos y lógica de negocio; Raúl en infraestructura, plataforma y validación, con colaboración entre zonas. Los criterios de aceptación y el DoD guían las revisiones. CI verifica lint, tipos, compilación, PWA y pruebas. La revisión recíproca es una regla del proceso, no una afirmación de que todos los PR la hayan cumplido; el despliegue #160 sigue esperando revisión.</w:t>
            </w:r>
          </w:p>
        </w:tc>
      </w:tr>
      <w:tr w:rsidR="0003309E" w14:paraId="74E704B1" w14:textId="77777777" w:rsidTr="000A1331">
        <w:trPr/>
        <w:tc>
          <w:tcPr>
            <w:tcW w:w="249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Evidencias de avance</w:t>
            </w:r>
          </w:p>
        </w:tc>
        <w:tc>
          <w:tcPr>
            <w:tcW w:w="12643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Se adjuntan el informe corregido, las cuatro evidencias ágiles, presentación y guion, matriz de pauta, registro de contribuciones y copias técnicas fechadas. CI y E2E tienen enlaces a ejecuciones exitosas. Los 17 E2E y siete escenarios de caos corresponden al informe histórico del 13-10-2026, no a una ejecución completa de la versión pública. El esquema sin datos y las 12 migraciones acreditan almacenamiento y RLS. La demo acredita implantación; backups y restore aislado acreditan recuperación. No se declara completado el recorrido manual público que fue interrumpido al denegarse la carga del archivo.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15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137"/>
      </w:tblGrid>
      <w:tr w:rsidR="00586C9C" w14:paraId="31DD54DD" w14:textId="77777777" w:rsidTr="000A1331">
        <w:trPr/>
        <w:tc>
          <w:tcPr>
            <w:tcW w:w="15137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2. Monitoreo del Plan de Trabajo</w:t>
            </w:r>
          </w:p>
        </w:tc>
      </w:tr>
      <w:tr w:rsidR="00586C9C" w14:paraId="07A4A632" w14:textId="77777777" w:rsidTr="000A1331">
        <w:trPr/>
        <w:tc>
          <w:tcPr>
            <w:tcW w:w="15137" w:type="dxa"/>
            <w:shd w:val="clear" w:color="auto" w:fill="D9E2F3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Las duraciones proceden de la planificación. No equivalen a horas ejecutadas ni fechas certificadas.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15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 w:rsidR="00FD5149" w:rsidRPr="006E3B0D" w14:paraId="54BB210F" w14:textId="77777777" w:rsidTr="009552E5">
        <w:trPr>
          <w:cantSplit/>
          <w:tblHeader/>
        </w:trPr>
        <w:tc>
          <w:tcPr>
            <w:tcW w:w="189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Competencia</w:t>
            </w:r>
          </w:p>
        </w:tc>
        <w:tc>
          <w:tcPr>
            <w:tcW w:w="189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Actividad</w:t>
            </w:r>
          </w:p>
        </w:tc>
        <w:tc>
          <w:tcPr>
            <w:tcW w:w="189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Recursos</w:t>
            </w:r>
          </w:p>
        </w:tc>
        <w:tc>
          <w:tcPr>
            <w:tcW w:w="189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Duración planificada</w:t>
            </w:r>
          </w:p>
        </w:tc>
        <w:tc>
          <w:tcPr>
            <w:tcW w:w="189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Responsable</w:t>
            </w:r>
          </w:p>
        </w:tc>
        <w:tc>
          <w:tcPr>
            <w:tcW w:w="189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Observaciones</w:t>
            </w:r>
          </w:p>
        </w:tc>
        <w:tc>
          <w:tcPr>
            <w:tcW w:w="189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Estado</w:t>
            </w:r>
          </w:p>
        </w:tc>
        <w:tc>
          <w:tcPr>
            <w:tcW w:w="1892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Ajuste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Gestión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Problema y objetivos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Fuentes y guía F1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2 + 1 sem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Ambos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Sin faena real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Completado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Contexto documental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Datos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Modelo y RLS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PostgreSQL / UML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2 sem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Daniel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Requiere aislar empresas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Completado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Modelo físico y 12 migraciones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Desarrollo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Diseño offline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Specs y ADR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2 sem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Ambos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Red intermitente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Completado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Captura local primero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Gestión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Modelo multiempresa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Requisitos / RLS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1 sem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Ambos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Complejidad SaaS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Ajustada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Aislamiento técnico; negocio no validado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Desarrollo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Prototipo funcional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React / NestJS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4 sem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Ambos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Integración por módulos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Completado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Demo ejecutable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Validación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Pruebas y ajustes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Vitest / Playwright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2 sem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Raúl + Daniel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Docker para integración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Completado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401 CI + 2 E2E dirigidos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Desarrollo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Formularios Excel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ExcelJS / Zod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4 sem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Ambos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Validar tipos y asignación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Completado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Tarea #44 cerrada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Infraestructura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Publicar demo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OCI / Docker / Caddy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1 sem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Ambos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Cuotas gratuitas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Completado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HTTPS y backup; PR en revisión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Validación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Aceptación física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Android / iOS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Próximo ciclo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Ambos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Disponibilidad de dispositivos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En curso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Foto offline y sesión larga pendientes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Gestión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Informes y exposición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Guías / Git / PPT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Transversal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Ambos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Consolidación de evidencias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En curso</w:t>
            </w:r>
          </w:p>
        </w:tc>
        <w:tc>
          <w:tcPr>
            <w:tcW w:type="dxa" w:w="1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Revisar diarios y ensayar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151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137"/>
      </w:tblGrid>
      <w:tr w:rsidR="0003309E" w14:paraId="12F51379" w14:textId="77777777" w:rsidTr="00C5122E">
        <w:trPr/>
        <w:tc>
          <w:tcPr>
            <w:tcW w:w="15137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3. Ajustes a partir del monitoreo</w:t>
            </w:r>
          </w:p>
        </w:tc>
      </w:tr>
      <w:tr w:rsidR="0003309E" w14:paraId="08F9EDA3" w14:textId="77777777" w:rsidTr="00C5122E">
        <w:trPr/>
        <w:tc>
          <w:tcPr>
            <w:tcW w:w="15137" w:type="dxa"/>
            <w:shd w:val="clear" w:color="auto" w:fill="D9E2F3" w:themeFill="accent1" w:themeFillTint="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Facilitadores, dificultades, ajustes y trabajo pendiente.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15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137"/>
      </w:tblGrid>
      <w:tr w:rsidR="0003309E" w14:paraId="5B12D08B" w14:textId="77777777" w:rsidTr="00C5122E">
        <w:trPr/>
        <w:tc>
          <w:tcPr>
            <w:tcW w:w="15137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22"/>
              </w:rPr>
              <w:t>Factores facilitadores y dificultades</w:t>
            </w:r>
          </w:p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Facilitaron el avance el stack común TypeScript, contratos compartidos, Docker/Testcontainers, el tablero y los documentos de Fase 1. La falta de acceso a faenas reales se abordó con datos ficticios y escenarios reproducibles. El entorno Vite de desarrollo no representa el arranque offline: usamos el build con service worker. Los errores de catálogo, edición numérica y modo manual de señal motivaron correcciones y regresiones. Las restricciones de costo llevaron a Oracle Always Free; la demo depende de sus cuotas y disponibilidad.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151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137"/>
      </w:tblGrid>
      <w:tr w:rsidR="0003309E" w:rsidRPr="00711C16" w14:paraId="56B8FCE9" w14:textId="77777777" w:rsidTr="00C5122E">
        <w:trPr/>
        <w:tc>
          <w:tcPr>
            <w:tcW w:w="15137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22"/>
              </w:rPr>
              <w:t>Actividades ajustadas o eliminadas</w:t>
            </w:r>
          </w:p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La maqueta prevista evolucionó a una demo ejecutable para verificar persistencia e idempotencia. El requisito multiempresa se concretó con RLS, sin afirmar que exista un negocio SaaS validado. Se incorporaron pruebas manuales, caos histórico y regresiones de señal. El despliegue originalmente estimado en un VPS pagado cambió a una VM ARM en Oracle con costo objetivo US$0. Se mantuvo Docker Compose y se agregaron HTTPS y backups cifrados de PostgreSQL y adjuntos.</w:t>
            </w:r>
          </w:p>
        </w:tc>
      </w:tr>
    </w:tbl>
    <w:p>
      <w:pPr>
        <w:spacing w:before="0" w:after="0" w:line="40" w:lineRule="exact"/>
      </w:pPr>
      <w:r>
        <w:rPr>
          <w:sz w:val="2"/>
        </w:rPr>
      </w:r>
    </w:p>
    <w:tbl>
      <w:tblPr>
        <w:tblStyle w:val="Tablaconcuadrcula"/>
        <w:tblW w:w="151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137"/>
      </w:tblGrid>
      <w:tr w:rsidR="0003309E" w:rsidRPr="00711C16" w14:paraId="2284498D" w14:textId="77777777" w:rsidTr="00C5122E">
        <w:trPr/>
        <w:tc>
          <w:tcPr>
            <w:tcW w:w="15137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22"/>
              </w:rPr>
              <w:t>Actividades no iniciadas o retrasadas</w:t>
            </w:r>
          </w:p>
          <w:p>
            <w:pPr>
              <w:keepNext w:val="0"/>
              <w:keepLines w:val="0"/>
              <w:spacing w:after="100" w:line="240" w:lineRule="auto"/>
            </w:pPr>
            <w:r>
              <w:rPr>
                <w:rFonts w:ascii="Arial" w:hAnsi="Arial"/>
                <w:b w:val="0"/>
                <w:color w:val="000000"/>
                <w:sz w:val="22"/>
              </w:rPr>
              <w:t>Quedan pendientes el recorrido público controlado de importación Excel y foto offline, la instalación en Android/iOS, la sesión prolongada y la revisión cruzada del PR #160. La auditoría diaria de Actions requiere incorporar su workflow a main. El respaldo diario del servidor sí está activo.</w:t>
            </w:r>
          </w:p>
        </w:tc>
      </w:tr>
    </w:tbl>
    <w:sectPr w:rsidR="0003309E" w:rsidRPr="0003309E">
      <w:headerReference w:type="default" r:id="rId10"/>
      <w:pgSz w:w="16838" w:h="11906" w:orient="landscape"/>
      <w:pgMar w:top="1417" w:right="850" w:bottom="1417" w:left="850" w:header="708" w:footer="708" w:gutter="0"/>
      <w:cols w:space="708"/>
      <w:docGrid w:linePitch="360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40" w:lineRule="auto"/>
    </w:pPr>
    <w:rPr>
      <w:rFonts w:ascii="Arial" w:hAnsi="Arial"/>
      <w:color w:val="000000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Arial" w:hAnsi="Arial"/>
      <w:color w:val="00000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Terreno Conectado</dc:subject>
  <dc:creator>Daniel Ávila y Raúl González</dc:creator>
  <cp:keywords/>
  <dc:description/>
  <cp:lastModifiedBy>Daniel Ávila y Raúl González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