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Guide 2 APT Project Development </w:t>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xml:space="preserve"/>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9552E5">
                                <w:rPr>
                                  <w:b/>
                                  <w:color w:val="1F3864" w:themeColor="accent1" w:themeShade="80"/>
                                  <w:sz w:val="48"/>
                                  <w:szCs w:val="48"/>
                                </w:rPr>
                                <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Guide 2 APT Project Development </w:t>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xml:space="preserve"/>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9552E5">
                          <w:rPr>
                            <w:b/>
                            <w:color w:val="1F3864" w:themeColor="accent1" w:themeShade="80"/>
                            <w:sz w:val="48"/>
                            <w:szCs w:val="48"/>
                          </w:rPr>
                          <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pPr>
        <w:keepNext/>
        <w:spacing w:before="3400"/>
      </w:pPr>
      <w:r>
        <w:rPr>
          <w:rFonts w:ascii="Arial" w:hAnsi="Arial"/>
          <w:b w:val="0"/>
          <w:color w:val="000000"/>
          <w:sz w:val="22"/>
        </w:rPr>
        <w:t>Project: Terreno Conectado, Decisiones en Tiempo Real</w:t>
        <w:br/>
        <w:t>Daniel Ávila y Raúl González | Cut-off: 16 October 2026</w:t>
      </w:r>
    </w:p>
    <w:tbl>
      <w:tblPr>
        <w:tblStyle w:val="Tablaconcuadrcula"/>
        <w:tblW w:w="151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137"/>
      </w:tblGrid>
      <w:tr w:rsidR="0003309E" w14:paraId="68853070" w14:textId="77777777" w:rsidTr="00C5122E">
        <w:trPr/>
        <w:tc>
          <w:tcPr>
            <w:tcW w:w="15137"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1. APT project progress summary</w:t>
            </w:r>
          </w:p>
        </w:tc>
      </w:tr>
      <w:tr w:rsidR="0003309E" w14:paraId="104F9294" w14:textId="77777777" w:rsidTr="00C5122E">
        <w:trPr/>
        <w:tc>
          <w:tcPr>
            <w:tcW w:w="15137" w:type="dxa"/>
            <w:shd w:val="clear" w:color="auto" w:fill="D9E2F3" w:themeFill="accent1" w:themeFillTint="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Summarize progress against objectives and provide verifiable evidence.</w:t>
            </w:r>
          </w:p>
        </w:tc>
      </w:tr>
    </w:tbl>
    <w:p>
      <w:pPr>
        <w:spacing w:before="0" w:after="0" w:line="40" w:lineRule="exact"/>
      </w:pPr>
      <w:r>
        <w:rPr>
          <w:sz w:val="2"/>
        </w:rPr>
      </w:r>
    </w:p>
    <w:tbl>
      <w:tblPr>
        <w:tblStyle w:val="Tablaconcuadrcula"/>
        <w:tblW w:w="151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94"/>
        <w:gridCol w:w="12643"/>
      </w:tblGrid>
      <w:tr w:rsidR="0003309E" w14:paraId="416C77F4" w14:textId="77777777" w:rsidTr="000A1331">
        <w:trPr/>
        <w:tc>
          <w:tcPr>
            <w:tcW w:w="2494"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APT progress summary</w:t>
            </w:r>
          </w:p>
        </w:tc>
        <w:tc>
          <w:tcPr>
            <w:tcW w:w="12643" w:type="dxa"/>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During Phase 2 we moved from a conceptual proposal to a working HTTPS demo. We implemented authentication and roles, local inspection and photo capture, a persistent outbox, idempotent synchronization, versioned Excel forms, site-and-role assignments, worker-linked review and export. React/Vite and Workbox deliver the PWA; Dexie stores work in IndexedDB; NestJS applies business rules and PostgreSQL 16 with RLS isolates companies. Initial download and authentication require connectivity. Subsequent offline capture uses data already available on the device. Release validation records 401 tests (78 shared, 130 frontend, 190 backend and 3 infrastructure), plus two targeted E2E tests in a separate run. This is not a coverage percentage. We also verified isolated database-and-file restoration and a VPS reboot. Operational impact at a real worksite has not yet been measured.</w:t>
            </w:r>
          </w:p>
        </w:tc>
      </w:tr>
      <w:tr w:rsidR="0003309E" w14:paraId="054DAFFB" w14:textId="77777777" w:rsidTr="000A1331">
        <w:trPr/>
        <w:tc>
          <w:tcPr>
            <w:tcW w:w="2494"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Objectives</w:t>
            </w:r>
          </w:p>
        </w:tc>
        <w:tc>
          <w:tcPr>
            <w:tcW w:w="12643"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We retain the general objective of designing and validating a field-data platform for mining and construction with intermittent connectivity. Progress: (1) problem and context documented; (2) offline architecture implemented; (3) tenant isolation implemented using RLS; (4) planning and validation performed, with physical acceptance checks still pending. The prototype evolved into a functional demo. This does not establish production certification or a validated commercial SaaS model.</w:t>
            </w:r>
          </w:p>
        </w:tc>
      </w:tr>
      <w:tr w:rsidR="0003309E" w14:paraId="2FEF1C0D" w14:textId="77777777" w:rsidTr="000A1331">
        <w:trPr/>
        <w:tc>
          <w:tcPr>
            <w:tcW w:w="2494"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Methodology</w:t>
            </w:r>
          </w:p>
        </w:tc>
        <w:tc>
          <w:tcPr>
            <w:tcW w:w="12643"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We use iterative, incremental development with Spec Driven Development: FR/NFR requirement, specification, plan, task, code, test and evidence. The board tracks priorities and ownership. Daniel focuses on data and business logic; Raúl on infrastructure, platform and validation, with collaboration across areas. Acceptance criteria and the DoD guide reviews. CI checks lint, types, builds, PWA artifacts and tests. Reciprocal review is a process rule, not a claim that every historical PR met it; deployment PR #160 still awaits review.</w:t>
            </w:r>
          </w:p>
        </w:tc>
      </w:tr>
      <w:tr w:rsidR="0003309E" w14:paraId="74E704B1" w14:textId="77777777" w:rsidTr="000A1331">
        <w:trPr/>
        <w:tc>
          <w:tcPr>
            <w:tcW w:w="2494"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Evidence of progress</w:t>
            </w:r>
          </w:p>
        </w:tc>
        <w:tc>
          <w:tcPr>
            <w:tcW w:w="12643"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The package includes the corrected progress report, four agile artifacts, slides and script, rubric mapping, contribution records and dated technical snapshots. CI and targeted E2E results link to successful runs. The 17 E2E tests and seven chaos scenarios belong to the historical report dated 13 October 2026, not to a full rerun of the public release. The data-free schema and 12 migrations support the database and RLS evidence. The demo supports deployment, while backups and isolated restoration support recovery. The public manual walkthrough interrupted by the declined file upload is not marked complete.</w:t>
            </w:r>
          </w:p>
        </w:tc>
      </w:tr>
    </w:tbl>
    <w:p>
      <w:pPr>
        <w:spacing w:before="0" w:after="0" w:line="40" w:lineRule="exact"/>
      </w:pPr>
      <w:r>
        <w:rPr>
          <w:sz w:val="2"/>
        </w:rPr>
      </w:r>
    </w:p>
    <w:tbl>
      <w:tblPr>
        <w:tblStyle w:val="Tablaconcuadrcula"/>
        <w:tblW w:w="151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137"/>
      </w:tblGrid>
      <w:tr w:rsidR="00586C9C" w14:paraId="31DD54DD" w14:textId="77777777" w:rsidTr="000A1331">
        <w:trPr/>
        <w:tc>
          <w:tcPr>
            <w:tcW w:w="15137"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2. Work plan monitoring</w:t>
            </w:r>
          </w:p>
        </w:tc>
      </w:tr>
      <w:tr w:rsidR="00586C9C" w14:paraId="07A4A632" w14:textId="77777777" w:rsidTr="000A1331">
        <w:trPr/>
        <w:tc>
          <w:tcPr>
            <w:tcW w:w="15137" w:type="dxa"/>
            <w:shd w:val="clear" w:color="auto" w:fill="D9E2F3" w:themeFill="accent1" w:themeFillTint="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The table keeps the original planning durations. They are not actual hours or certified dates.</w:t>
            </w:r>
          </w:p>
        </w:tc>
      </w:tr>
    </w:tbl>
    <w:p>
      <w:pPr>
        <w:spacing w:before="0" w:after="0" w:line="40" w:lineRule="exact"/>
      </w:pPr>
      <w:r>
        <w:rPr>
          <w:sz w:val="2"/>
        </w:rPr>
      </w:r>
    </w:p>
    <w:tbl>
      <w:tblPr>
        <w:tblStyle w:val="Tablaconcuadrcula"/>
        <w:tblW w:w="151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92"/>
        <w:gridCol w:w="1892"/>
        <w:gridCol w:w="1892"/>
        <w:gridCol w:w="1892"/>
        <w:gridCol w:w="1892"/>
        <w:gridCol w:w="1892"/>
        <w:gridCol w:w="1892"/>
        <w:gridCol w:w="1892"/>
      </w:tblGrid>
      <w:tr w:rsidR="00FD5149" w:rsidRPr="006E3B0D" w14:paraId="54BB210F" w14:textId="77777777" w:rsidTr="009552E5">
        <w:trPr>
          <w:cantSplit/>
          <w:tblHeader/>
        </w:trPr>
        <w:tc>
          <w:tcPr>
            <w:tcW w:w="189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Competency</w:t>
            </w:r>
          </w:p>
        </w:tc>
        <w:tc>
          <w:tcPr>
            <w:tcW w:w="189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Activity</w:t>
            </w:r>
          </w:p>
        </w:tc>
        <w:tc>
          <w:tcPr>
            <w:tcW w:w="189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Resources</w:t>
            </w:r>
          </w:p>
        </w:tc>
        <w:tc>
          <w:tcPr>
            <w:tcW w:w="189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Planned duration</w:t>
            </w:r>
          </w:p>
        </w:tc>
        <w:tc>
          <w:tcPr>
            <w:tcW w:w="189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Responsible</w:t>
            </w:r>
          </w:p>
        </w:tc>
        <w:tc>
          <w:tcPr>
            <w:tcW w:w="189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Observations</w:t>
            </w:r>
          </w:p>
        </w:tc>
        <w:tc>
          <w:tcPr>
            <w:tcW w:w="189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Status</w:t>
            </w:r>
          </w:p>
        </w:tc>
        <w:tc>
          <w:tcPr>
            <w:tcW w:w="189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Adjustment</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Management</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Problem and objectives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Sources / P1 guide</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2 + 1 weeks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Both</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No real-worksite access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Completed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Documentary context</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Data</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Model and RLS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PostgreSQL / UML</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2 weeks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Daniel</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Tenant isolation needed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Completed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Physical model and 12 migrations</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Development</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Offline design</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Specs and ADRs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2 weeks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Both</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Intermittent network</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Completed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Local-first capture</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Management</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Multi-tenant model</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Requirements / RLS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1 week</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Both</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SaaS complexity</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Adjusted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Technical isolation; business unvalidated</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Development</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Functional prototype</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React / NestJS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4 weeks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Both</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Modular integration</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Completed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Executable demo</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Validation</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Tests and fixes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Vitest / Playwright</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2 weeks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Raúl + Daniel</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Docker integration dependency</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Completed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401 CI + 2 targeted E2E</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Development</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Excel forms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ExcelJS / Zod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4 weeks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Both</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Types and assignment validation</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Completed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Task #44 closed</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Infrastructure</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Publish demo</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OCI / Docker / Caddy</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1 week</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Both</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Free-tier quotas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Completed</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HTTPS and backup; PR awaiting review</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Validation</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Physical acceptance</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Android / iOS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Next iteration</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Both</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Device availability</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In progress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Offline photo and long session pending</w:t>
            </w:r>
          </w:p>
        </w:tc>
      </w:tr>
      <w:tr>
        <w:trPr>
          <w:cantSplit/>
        </w:trPr>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Management</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Reports and presentation</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Guides / Git / slides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Throughout</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Both</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Evidence consolidation</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In progress</w:t>
            </w:r>
          </w:p>
        </w:tc>
        <w:tc>
          <w:tcPr>
            <w:tcW w:type="dxa" w:w="1892"/>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Review diaries and rehearse</w:t>
            </w:r>
          </w:p>
        </w:tc>
      </w:tr>
    </w:tbl>
    <w:p>
      <w:pPr>
        <w:spacing w:before="0" w:after="0" w:line="40" w:lineRule="exact"/>
      </w:pPr>
      <w:r>
        <w:rPr>
          <w:sz w:val="2"/>
        </w:rPr>
      </w:r>
    </w:p>
    <w:tbl>
      <w:tblPr>
        <w:tblStyle w:val="Tablaconcuadrcula"/>
        <w:tblW w:w="151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137"/>
      </w:tblGrid>
      <w:tr w:rsidR="0003309E" w14:paraId="12F51379" w14:textId="77777777" w:rsidTr="00C5122E">
        <w:trPr/>
        <w:tc>
          <w:tcPr>
            <w:tcW w:w="15137"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keepLines w:val="0"/>
              <w:spacing w:after="100" w:line="240" w:lineRule="auto"/>
            </w:pPr>
            <w:r>
              <w:rPr>
                <w:rFonts w:ascii="Arial" w:hAnsi="Arial"/>
                <w:b w:val="0"/>
                <w:color w:val="000000"/>
                <w:sz w:val="22"/>
              </w:rPr>
              <w:t>3. Adjustments based on monitoring</w:t>
            </w:r>
          </w:p>
        </w:tc>
      </w:tr>
      <w:tr w:rsidR="0003309E" w14:paraId="08F9EDA3" w14:textId="77777777" w:rsidTr="00C5122E">
        <w:trPr/>
        <w:tc>
          <w:tcPr>
            <w:tcW w:w="15137" w:type="dxa"/>
            <w:shd w:val="clear" w:color="auto" w:fill="D9E2F3" w:themeFill="accent1" w:themeFillTint="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keepLines w:val="0"/>
              <w:spacing w:after="100" w:line="240" w:lineRule="auto"/>
            </w:pPr>
            <w:r>
              <w:rPr>
                <w:rFonts w:ascii="Arial" w:hAnsi="Arial"/>
                <w:b w:val="0"/>
                <w:color w:val="000000"/>
                <w:sz w:val="22"/>
              </w:rPr>
              <w:t>Explain facilitators, obstacles, adjustments and remaining work.</w:t>
            </w:r>
          </w:p>
        </w:tc>
      </w:tr>
    </w:tbl>
    <w:p>
      <w:pPr>
        <w:spacing w:before="0" w:after="0" w:line="40" w:lineRule="exact"/>
      </w:pPr>
      <w:r>
        <w:rPr>
          <w:sz w:val="2"/>
        </w:rPr>
      </w:r>
    </w:p>
    <w:tbl>
      <w:tblPr>
        <w:tblStyle w:val="Tablaconcuadrcula"/>
        <w:tblW w:w="151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137"/>
      </w:tblGrid>
      <w:tr w:rsidR="0003309E" w14:paraId="5B12D08B" w14:textId="77777777" w:rsidTr="00C5122E">
        <w:trPr/>
        <w:tc>
          <w:tcPr>
            <w:tcW w:w="15137"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b/>
                <w:sz w:val="22"/>
              </w:rPr>
              <w:t>Facilitators and difficulties</w:t>
            </w:r>
          </w:p>
          <w:p>
            <w:pPr>
              <w:keepNext w:val="0"/>
              <w:keepLines w:val="0"/>
              <w:spacing w:after="100" w:line="240" w:lineRule="auto"/>
            </w:pPr>
            <w:r>
              <w:rPr>
                <w:rFonts w:ascii="Arial" w:hAnsi="Arial"/>
                <w:b w:val="0"/>
                <w:color w:val="000000"/>
                <w:sz w:val="22"/>
              </w:rPr>
              <w:t>A shared TypeScript stack, common contracts, Docker/Testcontainers, the board and Phase 1 documentation supported progress. Lack of real-worksite access was addressed with fictitious data and reproducible scenarios. Vite development mode does not represent offline startup, so validation uses the service-worker build. Catalog, numeric-editing and manual-connectivity defects led to fixes and regression tests. Budget constraints led to Oracle Always Free; demo availability remains subject to its quotas and capacity.</w:t>
            </w:r>
          </w:p>
        </w:tc>
      </w:tr>
    </w:tbl>
    <w:p>
      <w:pPr>
        <w:spacing w:before="0" w:after="0" w:line="40" w:lineRule="exact"/>
      </w:pPr>
      <w:r>
        <w:rPr>
          <w:sz w:val="2"/>
        </w:rPr>
      </w:r>
    </w:p>
    <w:tbl>
      <w:tblPr>
        <w:tblStyle w:val="Tablaconcuadrcula"/>
        <w:tblW w:w="151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137"/>
      </w:tblGrid>
      <w:tr w:rsidR="0003309E" w:rsidRPr="00711C16" w14:paraId="56B8FCE9" w14:textId="77777777" w:rsidTr="00C5122E">
        <w:trPr/>
        <w:tc>
          <w:tcPr>
            <w:tcW w:w="15137"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b/>
                <w:sz w:val="22"/>
              </w:rPr>
              <w:t>Adjusted or removed activities</w:t>
            </w:r>
          </w:p>
          <w:p>
            <w:pPr>
              <w:keepNext w:val="0"/>
              <w:keepLines w:val="0"/>
              <w:spacing w:after="100" w:line="240" w:lineRule="auto"/>
            </w:pPr>
            <w:r>
              <w:rPr>
                <w:rFonts w:ascii="Arial" w:hAnsi="Arial"/>
                <w:b w:val="0"/>
                <w:color w:val="000000"/>
                <w:sz w:val="22"/>
              </w:rPr>
              <w:t>The planned mockup evolved into an executable demo to verify persistence and idempotency. The multi-company requirement was implemented with RLS, without claiming a validated SaaS business. Manual checks, historical chaos testing and connectivity regressions were incorporated. The originally planned paid VPS changed to an ARM Oracle VM targeting US$0. Docker Compose was retained, with HTTPS and encrypted PostgreSQL-and-file backups added.</w:t>
            </w:r>
          </w:p>
        </w:tc>
      </w:tr>
    </w:tbl>
    <w:p>
      <w:pPr>
        <w:spacing w:before="0" w:after="0" w:line="40" w:lineRule="exact"/>
      </w:pPr>
      <w:r>
        <w:rPr>
          <w:sz w:val="2"/>
        </w:rPr>
      </w:r>
    </w:p>
    <w:tbl>
      <w:tblPr>
        <w:tblStyle w:val="Tablaconcuadrcula"/>
        <w:tblW w:w="151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137"/>
      </w:tblGrid>
      <w:tr w:rsidR="0003309E" w:rsidRPr="00711C16" w14:paraId="2284498D" w14:textId="77777777" w:rsidTr="00C5122E">
        <w:trPr/>
        <w:tc>
          <w:tcPr>
            <w:tcW w:w="15137"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b/>
                <w:sz w:val="22"/>
              </w:rPr>
              <w:t>Activities not started or delayed</w:t>
            </w:r>
          </w:p>
          <w:p>
            <w:pPr>
              <w:keepNext w:val="0"/>
              <w:keepLines w:val="0"/>
              <w:spacing w:after="100" w:line="240" w:lineRule="auto"/>
            </w:pPr>
            <w:r>
              <w:rPr>
                <w:rFonts w:ascii="Arial" w:hAnsi="Arial"/>
                <w:b w:val="0"/>
                <w:color w:val="000000"/>
                <w:sz w:val="22"/>
              </w:rPr>
              <w:t>The controlled public Excel-import and offline-photo walkthrough, physical Android/iOS installation, a prolonged client session and peer review of PR #160 remain pending. The daily Actions audit requires its workflow to reach main. The server daily backup is already enabled.</w:t>
            </w:r>
          </w:p>
        </w:tc>
      </w:tr>
    </w:tbl>
    <w:sectPr w:rsidR="0003309E" w:rsidRPr="0003309E">
      <w:headerReference w:type="default" r:id="rId10"/>
      <w:pgSz w:w="16838" w:h="11906" w:orient="landscape"/>
      <w:pgMar w:top="1417" w:right="850" w:bottom="1417" w:left="850" w:header="708" w:footer="708"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Student Guide - APT Project Development </w:t>
          </w:r>
          <w:r>
            <w:rPr>
              <w:rFonts w:ascii="Century Gothic" w:eastAsia="Century Gothic" w:hAnsi="Century Gothic" w:cs="Century Gothic"/>
              <w:b/>
              <w:color w:val="1D2763"/>
              <w:sz w:val="24"/>
              <w:szCs w:val="24"/>
            </w:rPr>
            <w:t xml:space="preserve"/>
          </w:r>
          <w:r w:rsidR="00CE0AA8">
            <w:rPr>
              <w:rFonts w:ascii="Century Gothic" w:eastAsia="Century Gothic" w:hAnsi="Century Gothic" w:cs="Century Gothic"/>
              <w:b/>
              <w:color w:val="1D2763"/>
              <w:sz w:val="24"/>
              <w:szCs w:val="24"/>
            </w:rPr>
            <w:t/>
          </w:r>
          <w:r w:rsidRPr="00C44557">
            <w:rPr>
              <w:rFonts w:ascii="Century Gothic" w:eastAsia="Century Gothic" w:hAnsi="Century Gothic" w:cs="Century Gothic"/>
              <w:b/>
              <w:color w:val="1D2763"/>
              <w:sz w:val="24"/>
              <w:szCs w:val="24"/>
            </w:rPr>
            <w:t xml:space="preserve"/>
          </w:r>
          <w:r>
            <w:rPr>
              <w:rFonts w:ascii="Century Gothic" w:eastAsia="Century Gothic" w:hAnsi="Century Gothic" w:cs="Century Gothic"/>
              <w:b/>
              <w:color w:val="1D2763"/>
              <w:sz w:val="24"/>
              <w:szCs w:val="24"/>
            </w:rPr>
            <w:t xml:space="preserve"/>
          </w:r>
          <w:r w:rsidRPr="005673ED">
            <w:rPr>
              <w:rFonts w:ascii="Century Gothic" w:eastAsia="Century Gothic" w:hAnsi="Century Gothic" w:cs="Century Gothic"/>
              <w:b/>
              <w:color w:val="1D2763"/>
              <w:sz w:val="24"/>
              <w:szCs w:val="24"/>
            </w:rPr>
            <w:t/>
          </w:r>
          <w:r w:rsidRPr="00D100C8">
            <w:rPr>
              <w:rFonts w:ascii="Century Gothic" w:eastAsia="Century Gothic" w:hAnsi="Century Gothic" w:cs="Century Gothic"/>
              <w:b/>
              <w:color w:val="1D2763"/>
              <w:sz w:val="24"/>
              <w:szCs w:val="24"/>
            </w:rPr>
            <w:t xml:space="preserve"/>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2</w:t>
          </w:r>
          <w:r>
            <w:rPr>
              <w:rFonts w:ascii="Century Gothic" w:eastAsia="Century Gothic" w:hAnsi="Century Gothic" w:cs="Century Gothic"/>
              <w:b/>
              <w:color w:val="1D2763"/>
              <w:sz w:val="24"/>
              <w:szCs w:val="24"/>
            </w:rPr>
            <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40" w:lineRule="auto"/>
    </w:pPr>
    <w:rPr>
      <w:rFonts w:ascii="Arial" w:hAnsi="Arial"/>
      <w:color w:val="000000"/>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ascii="Arial" w:hAnsi="Arial"/>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Terreno Conectado</dc:subject>
  <dc:creator>Daniel Ávila y Raúl González</dc:creator>
  <cp:keywords/>
  <dc:description/>
  <cp:lastModifiedBy>Daniel Ávila y Raúl González</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