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Guide 3 Final APT Project Report </w:t>
                              </w:r>
                              <w:r>
                                <w:rPr>
                                  <w:b/>
                                  <w:color w:val="1F3864" w:themeColor="accent1" w:themeShade="80"/>
                                  <w:sz w:val="48"/>
                                  <w:szCs w:val="48"/>
                                </w:rPr>
                                <w:t/>
                              </w:r>
                              <w:r w:rsidRPr="00231F2A">
                                <w:rPr>
                                  <w:b/>
                                  <w:color w:val="1F3864" w:themeColor="accent1" w:themeShade="80"/>
                                  <w:sz w:val="48"/>
                                  <w:szCs w:val="48"/>
                                </w:rPr>
                                <w:t xml:space="preserve"/>
                              </w:r>
                              <w:r w:rsidR="000C587E">
                                <w:rPr>
                                  <w:b/>
                                  <w:color w:val="1F3864" w:themeColor="accent1" w:themeShade="80"/>
                                  <w:sz w:val="48"/>
                                  <w:szCs w:val="48"/>
                                </w:rPr>
                                <w:t/>
                              </w:r>
                              <w:r>
                                <w:rPr>
                                  <w:b/>
                                  <w:color w:val="1F3864" w:themeColor="accent1" w:themeShade="80"/>
                                  <w:sz w:val="48"/>
                                  <w:szCs w:val="48"/>
                                </w:rPr>
                                <w:t xml:space="preserve"/>
                              </w:r>
                              <w:r w:rsidRPr="00231F2A">
                                <w:rPr>
                                  <w:b/>
                                  <w:color w:val="1F3864" w:themeColor="accent1" w:themeShade="80"/>
                                  <w:sz w:val="48"/>
                                  <w:szCs w:val="48"/>
                                </w:rPr>
                                <w:t xml:space="preserve"/>
                              </w:r>
                              <w:r>
                                <w:rPr>
                                  <w:b/>
                                  <w:color w:val="1F3864" w:themeColor="accent1" w:themeShade="80"/>
                                  <w:sz w:val="48"/>
                                  <w:szCs w:val="48"/>
                                </w:rPr>
                                <w:t xml:space="preserve"/>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6672AA">
                                <w:rPr>
                                  <w:b/>
                                  <w:color w:val="1F3864" w:themeColor="accent1" w:themeShade="80"/>
                                  <w:sz w:val="48"/>
                                  <w:szCs w:val="48"/>
                                </w:rPr>
                                <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Guide 3 Final APT Project Report </w:t>
                        </w:r>
                        <w:r>
                          <w:rPr>
                            <w:b/>
                            <w:color w:val="1F3864" w:themeColor="accent1" w:themeShade="80"/>
                            <w:sz w:val="48"/>
                            <w:szCs w:val="48"/>
                          </w:rPr>
                          <w:t/>
                        </w:r>
                        <w:r w:rsidRPr="00231F2A">
                          <w:rPr>
                            <w:b/>
                            <w:color w:val="1F3864" w:themeColor="accent1" w:themeShade="80"/>
                            <w:sz w:val="48"/>
                            <w:szCs w:val="48"/>
                          </w:rPr>
                          <w:t xml:space="preserve"/>
                        </w:r>
                        <w:r w:rsidR="000C587E">
                          <w:rPr>
                            <w:b/>
                            <w:color w:val="1F3864" w:themeColor="accent1" w:themeShade="80"/>
                            <w:sz w:val="48"/>
                            <w:szCs w:val="48"/>
                          </w:rPr>
                          <w:t/>
                        </w:r>
                        <w:r>
                          <w:rPr>
                            <w:b/>
                            <w:color w:val="1F3864" w:themeColor="accent1" w:themeShade="80"/>
                            <w:sz w:val="48"/>
                            <w:szCs w:val="48"/>
                          </w:rPr>
                          <w:t xml:space="preserve"/>
                        </w:r>
                        <w:r w:rsidRPr="00231F2A">
                          <w:rPr>
                            <w:b/>
                            <w:color w:val="1F3864" w:themeColor="accent1" w:themeShade="80"/>
                            <w:sz w:val="48"/>
                            <w:szCs w:val="48"/>
                          </w:rPr>
                          <w:t xml:space="preserve"/>
                        </w:r>
                        <w:r>
                          <w:rPr>
                            <w:b/>
                            <w:color w:val="1F3864" w:themeColor="accent1" w:themeShade="80"/>
                            <w:sz w:val="48"/>
                            <w:szCs w:val="48"/>
                          </w:rPr>
                          <w:t xml:space="preserve"/>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Capstone Course</w:t>
                        </w:r>
                        <w:r w:rsidR="006672AA">
                          <w:rPr>
                            <w:b/>
                            <w:color w:val="1F3864" w:themeColor="accent1" w:themeShade="80"/>
                            <w:sz w:val="48"/>
                            <w:szCs w:val="48"/>
                          </w:rPr>
                          <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pPr>
        <w:keepNext/>
        <w:spacing w:before="3400"/>
      </w:pPr>
      <w:r>
        <w:rPr>
          <w:rFonts w:ascii="Arial" w:hAnsi="Arial"/>
          <w:b w:val="0"/>
          <w:color w:val="000000"/>
          <w:sz w:val="22"/>
        </w:rPr>
        <w:t>Project: Terreno Conectado, Decisiones en Tiempo Real</w:t>
        <w:br/>
        <w:t>Daniel Ávila y Raúl González | Cut-off: 16 October 2026</w:t>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781"/>
      </w:tblGrid>
      <w:tr w:rsidR="001202BF" w14:paraId="7F975A4D" w14:textId="77777777" w:rsidTr="00D608E0">
        <w:trPr>
          <w:tblHeader/>
        </w:trPr>
        <w:tc>
          <w:tcPr>
            <w:tcW w:w="978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1. Final APT Project Report</w:t>
            </w:r>
          </w:p>
        </w:tc>
      </w:tr>
      <w:tr w:rsidR="001202BF" w14:paraId="34B1D0B2" w14:textId="77777777" w:rsidTr="00D608E0">
        <w:trPr/>
        <w:tc>
          <w:tcPr>
            <w:tcW w:w="9781" w:type="dxa"/>
            <w:shd w:val="clear" w:color="auto" w:fill="D9E2F3" w:themeFill="accent1" w:themeFillTint="3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Present the main decisions and results reached by the cut-off date, explaining evidence and limitations.</w:t>
            </w:r>
          </w:p>
        </w:tc>
      </w:tr>
    </w:tbl>
    <w:p>
      <w:pPr>
        <w:spacing w:before="0" w:after="0" w:line="40" w:lineRule="exact"/>
      </w:pPr>
      <w:r>
        <w:rPr>
          <w:sz w:val="2"/>
        </w:rPr>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159"/>
        <w:gridCol w:w="6622"/>
      </w:tblGrid>
      <w:tr w:rsidR="00050706" w:rsidRPr="00B4008E" w14:paraId="648C63AB" w14:textId="77777777" w:rsidTr="00434472">
        <w:trPr>
          <w:tblHeader/>
        </w:trPr>
        <w:tc>
          <w:tcPr>
            <w:tcW w:w="3159"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Project name</w:t>
            </w:r>
          </w:p>
        </w:tc>
        <w:tc>
          <w:tcPr>
            <w:tcW w:w="662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Terreno Conectado, Decisiones en Tiempo Real</w:t>
            </w:r>
          </w:p>
        </w:tc>
      </w:tr>
      <w:tr w:rsidR="00050706" w:rsidRPr="00B4008E" w14:paraId="0C90D500" w14:textId="77777777" w:rsidTr="00434472">
        <w:trPr/>
        <w:tc>
          <w:tcPr>
            <w:tcW w:w="3159"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Professional areas</w:t>
            </w:r>
          </w:p>
        </w:tc>
        <w:tc>
          <w:tcPr>
            <w:tcW w:w="662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Software development; data management and technological infrastructure.</w:t>
            </w:r>
          </w:p>
        </w:tc>
      </w:tr>
      <w:tr w:rsidR="00050706" w:rsidRPr="00B4008E" w14:paraId="34A68B25" w14:textId="77777777" w:rsidTr="00434472">
        <w:trPr/>
        <w:tc>
          <w:tcPr>
            <w:tcW w:w="3159"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Graduate competencies</w:t>
            </w:r>
          </w:p>
        </w:tc>
        <w:tc>
          <w:tcPr>
            <w:tcW w:w="6622"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Software validation, IT project management, scalable data models and systematic software development.</w:t>
            </w:r>
          </w:p>
        </w:tc>
      </w:tr>
    </w:tbl>
    <w:p>
      <w:pPr>
        <w:spacing w:before="0" w:after="0" w:line="40" w:lineRule="exact"/>
      </w:pPr>
      <w:r>
        <w:rPr>
          <w:sz w:val="2"/>
        </w:rPr>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001"/>
        <w:gridCol w:w="6780"/>
      </w:tblGrid>
      <w:tr w:rsidR="001202BF" w14:paraId="00134FF8" w14:textId="77777777" w:rsidTr="7EB51544">
        <w:trPr>
          <w:tblHeader/>
        </w:trPr>
        <w:tc>
          <w:tcPr>
            <w:tcW w:w="9781" w:type="dxa"/>
            <w:gridSpan w:val="2"/>
            <w:shd w:val="clear" w:color="auto" w:fill="D9D9D9" w:themeFill="background1" w:themeFillShade="D9"/>
            <w:vAlign w:val="center"/>
            <w:tcBorders>
              <w:top w:val="single" w:sz="4" w:color="D9D9D9"/>
              <w:left w:val="single" w:sz="4" w:color="D9D9D9"/>
              <w:bottom w:val="single" w:sz="4" w:color="D9D9D9"/>
              <w:right w:val="single" w:sz="4" w:color="D9D9D9"/>
              <w:top w:val="single" w:sz="4" w:color="D9D9D9"/>
              <w:left w:val="single" w:sz="4" w:color="D9D9D9"/>
              <w:bottom w:val="single" w:sz="4" w:color="D9D9D9"/>
              <w:right w:val="single" w:sz="4" w:color="D9D9D9"/>
            </w:tcBorders>
            <w:tcMar>
              <w:top w:w="80" w:type="dxa"/>
              <w:left w:w="80" w:type="dxa"/>
              <w:bottom w:w="80" w:type="dxa"/>
              <w:right w:w="80" w:type="dxa"/>
              <w:top w:w="80" w:type="dxa"/>
              <w:left w:w="80" w:type="dxa"/>
              <w:bottom w:w="80" w:type="dxa"/>
              <w:right w:w="80" w:type="dxa"/>
            </w:tcMar>
          </w:tcPr>
          <w:p>
            <w:pPr>
              <w:keepNext w:val="0"/>
              <w:keepLines w:val="0"/>
              <w:spacing w:after="100" w:line="240" w:lineRule="auto"/>
            </w:pPr>
            <w:r>
              <w:rPr>
                <w:rFonts w:ascii="Arial" w:hAnsi="Arial"/>
                <w:b w:val="0"/>
                <w:color w:val="000000"/>
                <w:sz w:val="22"/>
              </w:rPr>
              <w:t>Final report contents</w:t>
            </w:r>
          </w:p>
        </w:tc>
      </w:tr>
      <w:tr w:rsidR="001202BF" w14:paraId="55DAFFA5" w14:textId="77777777" w:rsidTr="7EB51544">
        <w:trPr/>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1. Project relevance</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What problem does the project address, where does it occur and who benefits? What value does it provide?</w:t>
            </w:r>
          </w:p>
          <w:p>
            <w:pPr>
              <w:keepNext w:val="0"/>
              <w:keepLines w:val="0"/>
              <w:spacing w:after="100" w:line="240" w:lineRule="auto"/>
            </w:pPr>
            <w:r>
              <w:rPr>
                <w:rFonts w:ascii="Arial" w:hAnsi="Arial"/>
                <w:b w:val="0"/>
                <w:color w:val="000000"/>
                <w:sz w:val="22"/>
              </w:rPr>
              <w:t>The project addresses delayed and fragmented inspection records when connectivity fails at mining and construction sites in Chile. Workers and supervisors need to preserve evidence and identify its author. The demo captures locally and centralizes later. Its context uses fictitious companies; no percentage improvement or real-organization validation is claimed.</w:t>
            </w:r>
          </w:p>
        </w:tc>
      </w:tr>
      <w:tr w:rsidR="001202BF" w14:paraId="69DA8CAD" w14:textId="77777777" w:rsidTr="7EB51544">
        <w:trPr/>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2. Objectives</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What are the general and specific objectives?</w:t>
            </w:r>
          </w:p>
          <w:p>
            <w:pPr>
              <w:keepNext w:val="0"/>
              <w:keepLines w:val="0"/>
              <w:spacing w:after="100" w:line="240" w:lineRule="auto"/>
            </w:pPr>
            <w:r>
              <w:rPr>
                <w:rFonts w:ascii="Arial" w:hAnsi="Arial"/>
                <w:b w:val="0"/>
                <w:color w:val="000000"/>
                <w:sz w:val="22"/>
              </w:rPr>
              <w:t>We retain the general objective of designing and validating a field-data platform for mining and construction with intermittent connectivity. Progress: (1) problem and context documented; (2) offline architecture implemented; (3) tenant isolation implemented using RLS; (4) planning and validation performed, with physical acceptance checks still pending. The prototype evolved into a functional demo. This does not establish production certification or a validated commercial SaaS model.</w:t>
            </w:r>
          </w:p>
        </w:tc>
      </w:tr>
      <w:tr w:rsidR="001202BF" w14:paraId="2F6D6195" w14:textId="77777777" w:rsidTr="7EB51544">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3. Methodology</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Which phases and procedures did we use and why are they appropriate?</w:t>
            </w:r>
          </w:p>
          <w:p>
            <w:pPr>
              <w:keepNext w:val="0"/>
              <w:keepLines w:val="0"/>
              <w:spacing w:after="100" w:line="240" w:lineRule="auto"/>
            </w:pPr>
            <w:r>
              <w:rPr>
                <w:rFonts w:ascii="Arial" w:hAnsi="Arial"/>
                <w:b w:val="0"/>
                <w:color w:val="000000"/>
                <w:sz w:val="22"/>
              </w:rPr>
              <w:t>We use iterative, incremental development with Spec Driven Development: FR/NFR requirement, specification, plan, task, code, test and evidence. The board tracks priorities and ownership. Daniel focuses on data and business logic; Raúl on infrastructure, platform and validation, with collaboration across areas. Acceptance criteria and the DoD guide reviews. CI checks lint, types, builds, PWA artifacts and tests. Reciprocal review is a process rule, not a claim that every historical PR met it; deployment PR #160 still awaits review.</w:t>
            </w:r>
          </w:p>
        </w:tc>
      </w:tr>
      <w:tr w:rsidR="001202BF" w14:paraId="76BFA255" w14:textId="77777777" w:rsidTr="7EB51544">
        <w:trPr/>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4. Development</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Which stages did we develop, what helped or hindered progress and what adjustments did we make?</w:t>
            </w:r>
          </w:p>
          <w:p>
            <w:pPr>
              <w:keepNext w:val="0"/>
              <w:keepLines w:val="0"/>
              <w:spacing w:after="100" w:line="240" w:lineRule="auto"/>
            </w:pPr>
            <w:r>
              <w:rPr>
                <w:rFonts w:ascii="Arial" w:hAnsi="Arial"/>
                <w:b w:val="0"/>
                <w:color w:val="000000"/>
                <w:sz w:val="22"/>
              </w:rPr>
              <w:t>Stages included Phase 1 definition, data and contract design, a walking skeleton, functional modules, dynamic forms, validation and deployment. The demo runs on ARM Ubuntu in Valparaíso with 2 OCPU, 12 GB RAM, a 50 GB boot disk and a 50 GB data disk. Caddy provides HTTPS and Compose keeps the API and DB on an internal network. Excel files and photos live on a volume; Object Storage receives the encrypted daily database-and-file backup. Isolated restoration, compatible version rollback and reboot were tested. The planned mockup evolved into an executable demo to verify persistence and idempotency. The multi-company requirement was implemented with RLS, without claiming a validated SaaS business. Manual checks, historical chaos testing and connectivity regressions were incorporated. The originally planned paid VPS changed to an ARM Oracle VM targeting US$0. Docker Compose was retained, with HTTPS and encrypted PostgreSQL-and-file backups added. The controlled public Excel-import and offline-photo walkthrough, physical Android/iOS installation, a prolonged client session and peer review of PR #160 remain pending. The daily Actions audit requires its workflow to reach main. The server daily backup is already enabled.</w:t>
            </w:r>
          </w:p>
        </w:tc>
      </w:tr>
      <w:tr w:rsidR="001202BF" w14:paraId="2F172176" w14:textId="77777777" w:rsidTr="7EB51544">
        <w:trPr/>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5. Evidence</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Which evidence demonstrates the stages and results?</w:t>
            </w:r>
          </w:p>
          <w:p>
            <w:pPr>
              <w:keepNext w:val="0"/>
              <w:keepLines w:val="0"/>
              <w:spacing w:after="100" w:line="240" w:lineRule="auto"/>
            </w:pPr>
            <w:r>
              <w:rPr>
                <w:rFonts w:ascii="Arial" w:hAnsi="Arial"/>
                <w:b w:val="0"/>
                <w:color w:val="000000"/>
                <w:sz w:val="22"/>
              </w:rPr>
              <w:t>The package includes the corrected progress report, four agile artifacts, slides and script, rubric mapping, contribution records and dated technical snapshots. CI and targeted E2E results link to successful runs. The 17 E2E tests and seven chaos scenarios belong to the historical report dated 13 October 2026, not to a full rerun of the public release. The data-free schema and 12 migrations support the database and RLS evidence. The demo supports deployment, while backups and isolated restoration support recovery. The public manual walkthrough interrupted by the declined file upload is not marked complete.</w:t>
            </w:r>
          </w:p>
        </w:tc>
      </w:tr>
      <w:tr w:rsidR="001202BF" w14:paraId="635C2673" w14:textId="77777777" w:rsidTr="7EB51544">
        <w:trPr/>
        <w:tc>
          <w:tcPr>
            <w:tcW w:w="3001"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keepLines w:val="0"/>
              <w:spacing w:after="100" w:line="240" w:lineRule="auto"/>
            </w:pPr>
            <w:r>
              <w:rPr>
                <w:rFonts w:ascii="Arial" w:hAnsi="Arial"/>
                <w:b w:val="0"/>
                <w:color w:val="000000"/>
                <w:sz w:val="22"/>
              </w:rPr>
              <w:t>6. Professional interests and projections</w:t>
            </w:r>
          </w:p>
        </w:tc>
        <w:tc>
          <w:tcPr>
            <w:tcW w:w="6780" w:type="dxa"/>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r>
              <w:rPr>
                <w:rFonts w:ascii="Arial" w:hAnsi="Arial"/>
                <w:i/>
                <w:sz w:val="22"/>
              </w:rPr>
              <w:t>How does the project contribute to professional interests and what should we explore next?</w:t>
            </w:r>
          </w:p>
          <w:p>
            <w:pPr>
              <w:keepNext w:val="0"/>
              <w:keepLines w:val="0"/>
              <w:spacing w:after="100" w:line="240" w:lineRule="auto"/>
            </w:pPr>
            <w:r>
              <w:rPr>
                <w:rFonts w:ascii="Arial" w:hAnsi="Arial"/>
                <w:b w:val="0"/>
                <w:color w:val="000000"/>
                <w:sz w:val="22"/>
              </w:rPr>
              <w:t>Daniel retains a focus on data, contracts and business logic; Raúl on infrastructure, platform and validation. The work supports further study of offline consistency, tenant security and recoverable operations. The next stage should strengthen peer review, physical-device measurement and continuous documentation. Each student should personally review these projections.</w:t>
            </w:r>
          </w:p>
        </w:tc>
      </w:tr>
    </w:tbl>
    <w:p>
      <w:pPr>
        <w:pStyle w:val="Heading1"/>
      </w:pPr>
      <w:r>
        <w:t>Individual conclusions</w:t>
      </w:r>
    </w:p>
    <w:p>
      <w:pPr>
        <w:pStyle w:val="Heading2"/>
      </w:pPr>
      <w:r>
        <w:t>Daniel Ávila</w:t>
      </w:r>
    </w:p>
    <w:p>
      <w:r>
        <w:t>The data model became a working part of the solution rather than a diagram. Client-generated identifiers, frozen form revisions and shared validation rules support offline capture and traceability. My next priority is to finish physical acceptance checks and keep the evidence aligned with the published version. The available tests support the scenarios we ran, not a guarantee for every field condition.</w:t>
      </w:r>
    </w:p>
    <w:p>
      <w:pPr>
        <w:pStyle w:val="Heading2"/>
      </w:pPr>
      <w:r>
        <w:t>Raúl González</w:t>
      </w:r>
    </w:p>
    <w:p>
      <w:r>
        <w:t>Validation and deployment made the proposal demonstrable. Automated checks, targeted connectivity tests, encrypted backups and isolated restoration provide evidence beyond a successful build. The remaining work is to review the pending deployment PR and complete device-based acceptance. A public demo is useful evidence, but does not replace a production reliability assessment.</w:t>
      </w:r>
    </w:p>
    <w:p>
      <w:pPr>
        <w:pStyle w:val="Heading1"/>
      </w:pPr>
      <w:r>
        <w:t>Reflection</w:t>
      </w:r>
    </w:p>
    <w:p>
      <w:r>
        <w:t>As a team, we progressed by linking requirements to small tasks and checking behavior through tests and actual use. Defects in assigned forms and the manual network switch showed why we must test the user flow as well as individual functions. We need to improve the timeliness of peer review and evidence consolidation. Roles help divide work, but shared testing and clear handoffs remain necessary. These personal conclusions are drafts for each student to review before academic submission.</w:t>
      </w:r>
    </w:p>
    <w:p>
      <w:pPr>
        <w:pStyle w:val="Heading1"/>
      </w:pPr>
      <w:r>
        <w:t>References and evidence</w:t>
      </w:r>
    </w:p>
    <w:p>
      <w:pPr>
        <w:keepNext/>
        <w:spacing w:after="0"/>
        <w:jc w:val="left"/>
      </w:pPr>
      <w:r>
        <w:t>https://terreno-conectado-demo.duckdns.org/</w:t>
      </w:r>
    </w:p>
    <w:p>
      <w:pPr>
        <w:keepNext/>
        <w:spacing w:after="0"/>
        <w:jc w:val="left"/>
      </w:pPr>
      <w:r>
        <w:t>https://github.com/danielandresavilaj-cell/terreno-conectado/actions/runs/38870126308</w:t>
      </w:r>
    </w:p>
    <w:p>
      <w:pPr>
        <w:keepNext/>
        <w:spacing w:after="0"/>
        <w:jc w:val="left"/>
      </w:pPr>
      <w:r>
        <w:t>https://github.com/danielandresavilaj-cell/terreno-conectado/actions/runs/38870622764</w:t>
      </w:r>
    </w:p>
    <w:p>
      <w:pPr>
        <w:keepNext w:val="0"/>
        <w:spacing w:after="0"/>
        <w:jc w:val="left"/>
      </w:pPr>
      <w:r>
        <w:t>https://github.com/danielandresavilaj-cell/terreno-conectado/pull/160</w:t>
      </w:r>
    </w:p>
    <w:sectPr w:rsidR="001202BF">
      <w:headerReference w:type="default" r:id="rId11"/>
      <w:pgSz w:w="11906" w:h="16838"/>
      <w:pgMar w:top="1417" w:right="1701" w:bottom="1417" w:left="1701" w:header="708" w:footer="708" w:gutter="0"/>
      <w:cols w:space="708"/>
      <w:docGrid w:linePitch="360"/>
      <w:pgNumType w:start="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Student Guide - Final APT Project Report</w:t>
          </w:r>
          <w:r>
            <w:rPr>
              <w:rFonts w:ascii="Century Gothic" w:eastAsia="Century Gothic" w:hAnsi="Century Gothic" w:cs="Century Gothic"/>
              <w:b/>
              <w:color w:val="1D2763"/>
              <w:sz w:val="24"/>
              <w:szCs w:val="24"/>
            </w:rPr>
            <w:t xml:space="preserve"/>
          </w:r>
          <w:r w:rsidR="009A3C06">
            <w:rPr>
              <w:rFonts w:ascii="Century Gothic" w:eastAsia="Century Gothic" w:hAnsi="Century Gothic" w:cs="Century Gothic"/>
              <w:b/>
              <w:color w:val="1D2763"/>
              <w:sz w:val="24"/>
              <w:szCs w:val="24"/>
            </w:rPr>
            <w:t/>
          </w:r>
          <w:r>
            <w:rPr>
              <w:rFonts w:ascii="Century Gothic" w:eastAsia="Century Gothic" w:hAnsi="Century Gothic" w:cs="Century Gothic"/>
              <w:b/>
              <w:color w:val="1D2763"/>
              <w:sz w:val="24"/>
              <w:szCs w:val="24"/>
            </w:rPr>
            <w:t xml:space="preserve"/>
          </w:r>
          <w:r w:rsidR="009A3C06">
            <w:rPr>
              <w:rFonts w:ascii="Century Gothic" w:eastAsia="Century Gothic" w:hAnsi="Century Gothic" w:cs="Century Gothic"/>
              <w:b/>
              <w:color w:val="1D2763"/>
              <w:sz w:val="24"/>
              <w:szCs w:val="24"/>
            </w:rPr>
            <w:t/>
          </w:r>
          <w:r w:rsidRPr="005673ED">
            <w:rPr>
              <w:rFonts w:ascii="Century Gothic" w:eastAsia="Century Gothic" w:hAnsi="Century Gothic" w:cs="Century Gothic"/>
              <w:b/>
              <w:color w:val="1D2763"/>
              <w:sz w:val="24"/>
              <w:szCs w:val="24"/>
            </w:rPr>
            <w:t xml:space="preserve"/>
          </w:r>
          <w:r w:rsidRPr="00D100C8">
            <w:rPr>
              <w:rFonts w:ascii="Century Gothic" w:eastAsia="Century Gothic" w:hAnsi="Century Gothic" w:cs="Century Gothic"/>
              <w:b/>
              <w:color w:val="1D2763"/>
              <w:sz w:val="24"/>
              <w:szCs w:val="24"/>
            </w:rPr>
            <w:t xml:space="preserve"/>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2</w:t>
          </w:r>
          <w:r w:rsidR="009A3C06">
            <w:rPr>
              <w:rFonts w:ascii="Century Gothic" w:eastAsia="Century Gothic" w:hAnsi="Century Gothic" w:cs="Century Gothic"/>
              <w:b/>
              <w:color w:val="1D2763"/>
              <w:sz w:val="24"/>
              <w:szCs w:val="24"/>
            </w:rPr>
            <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40" w:lineRule="auto"/>
    </w:pPr>
    <w:rPr>
      <w:rFonts w:ascii="Arial" w:hAnsi="Arial"/>
      <w:color w:val="000000"/>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ascii="Arial" w:hAnsi="Arial"/>
      <w:color w:val="00000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spacing w:line="240" w:lineRule="auto"/>
      <w:ind w:left="720"/>
      <w:contextualSpacing/>
    </w:pPr>
    <w:rPr>
      <w:rFonts w:ascii="Arial" w:hAnsi="Arial"/>
      <w:color w:val="000000"/>
      <w:sz w:val="22"/>
    </w:r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customStyle="1" w:styleId="ListBullet">
    <w:name w:val="List Bullet"/>
    <w:basedOn w:val="Normal"/>
    <w:pPr>
      <w:spacing w:after="100"/>
    </w:pPr>
    <w:rPr>
      <w:rFonts w:ascii="Arial" w:hAnsi="Arial"/>
      <w:sz w:val="22"/>
    </w:rPr>
  </w:style>
  <w:style w:type="paragraph" w:customStyle="1" w:styleId="Heading1">
    <w:name w:val="heading 1"/>
    <w:basedOn w:val="Normal"/>
    <w:pPr>
      <w:keepNext/>
    </w:pPr>
    <w:rPr>
      <w:rFonts w:ascii="Arial" w:hAnsi="Arial"/>
      <w:b/>
      <w:color w:val="000000"/>
      <w:sz w:val="32"/>
    </w:rPr>
  </w:style>
  <w:style w:type="paragraph" w:customStyle="1" w:styleId="Heading2">
    <w:name w:val="heading 2"/>
    <w:basedOn w:val="Normal"/>
    <w:pPr>
      <w:keepNext/>
    </w:pPr>
    <w:rPr>
      <w:rFonts w:ascii="Arial" w:hAnsi="Arial"/>
      <w:b/>
      <w:color w:val="000000"/>
      <w:sz w:val="26"/>
    </w:rPr>
  </w:style>
  <w:style w:type="paragraph" w:customStyle="1" w:styleId="Heading4">
    <w:name w:val="heading 4"/>
    <w:basedOn w:val="Normal"/>
    <w:pPr>
      <w:keepNext/>
    </w:pPr>
    <w:rPr>
      <w:rFonts w:ascii="Arial" w:hAnsi="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Terreno Conectado</dc:subject>
  <dc:creator>Daniel Ávila y Raúl González</dc:creator>
  <cp:keywords/>
  <dc:description/>
  <cp:lastModifiedBy>Daniel Ávila y Raúl González</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