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7C6F556A"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32E90A2" w14:textId="77777777" w:rsidR="00C82195" w:rsidRPr="00934F44" w:rsidRDefault="00232730" w:rsidP="00C61DE5">
                    <w:pPr>
                      <w:rPr>
                        <w:rFonts w:eastAsiaTheme="majorEastAsia"/>
                      </w:rPr>
                    </w:pPr>
                    <w:r w:rsidRPr="00C61DE5">
                      <w:t>DUOC UC - Escuela de informá</w:t>
                    </w:r>
                    <w:r w:rsidR="00CD4B11" w:rsidRPr="00C61DE5">
                      <w:t>tica y telecomunicaciones</w:t>
                    </w:r>
                  </w:p>
                </w:tc>
              </w:sdtContent>
            </w:sdt>
          </w:tr>
          <w:tr w:rsidR="00C82195" w:rsidRPr="00934F44"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62CB70C"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
                    </w:r>
                    <w:r w:rsidRPr="00934F44">
                      <w:rPr>
                        <w:rFonts w:eastAsiaTheme="majorEastAsia" w:cstheme="minorHAnsi"/>
                        <w:sz w:val="80"/>
                        <w:szCs w:val="80"/>
                      </w:rPr>
                      <w:t>Documento de Diseño</w:t>
                    </w:r>
                  </w:p>
                </w:tc>
              </w:sdtContent>
            </w:sdt>
          </w:tr>
          <w:tr w:rsidR="00C82195" w:rsidRPr="00934F44" w14:paraId="04211FAC"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1CB6CFE" w14:textId="77777777" w:rsidR="00C82195" w:rsidRPr="00934F44" w:rsidRDefault="00C14CFA" w:rsidP="000F54D6">
                    <w:pPr>
                      <w:pStyle w:val="Sinespaciado"/>
                      <w:jc w:val="center"/>
                      <w:rPr>
                        <w:rFonts w:eastAsiaTheme="majorEastAsia" w:cstheme="minorHAnsi"/>
                        <w:sz w:val="44"/>
                        <w:szCs w:val="44"/>
                      </w:rPr>
                    </w:pPr>
                    <w:r w:rsidRPr="00704663">
                      <w:rPr>
                        <w:rFonts w:eastAsiaTheme="majorEastAsia" w:cstheme="minorHAnsi"/>
                        <w:i/>
                        <w:color w:val="FF0000"/>
                        <w:sz w:val="44"/>
                        <w:szCs w:val="44"/>
                        <w:lang w:val="es-AR"/>
                      </w:rPr>
                      <w:t xml:space="preserve">Proyecto: </w:t>
                    </w:r>
                    <w:r w:rsidR="000F54D6" w:rsidRPr="00704663">
                      <w:rPr>
                        <w:rFonts w:eastAsiaTheme="majorEastAsia" w:cstheme="minorHAnsi"/>
                        <w:i/>
                        <w:color w:val="FF0000"/>
                        <w:sz w:val="44"/>
                        <w:szCs w:val="44"/>
                        <w:lang w:val="es-AR"/>
                      </w:rPr>
                      <w:t>Terreno Conectado</w:t>
                    </w:r>
                  </w:p>
                </w:tc>
              </w:sdtContent>
            </w:sdt>
          </w:tr>
          <w:tr w:rsidR="00C82195" w:rsidRPr="00934F44" w14:paraId="01FA500D" w14:textId="77777777">
            <w:trPr>
              <w:trHeight w:val="360"/>
              <w:jc w:val="center"/>
            </w:trPr>
            <w:tc>
              <w:tcPr>
                <w:tcW w:w="5000" w:type="pct"/>
                <w:vAlign w:val="center"/>
              </w:tcPr>
              <w:p w14:paraId="05C8C355" w14:textId="77777777" w:rsidR="00C82195" w:rsidRPr="00934F44" w:rsidRDefault="00C82195">
                <w:pPr>
                  <w:pStyle w:val="Sinespaciado"/>
                  <w:jc w:val="center"/>
                  <w:rPr>
                    <w:rFonts w:cstheme="minorHAnsi"/>
                  </w:rPr>
                </w:pPr>
              </w:p>
            </w:tc>
          </w:tr>
          <w:tr w:rsidR="00C82195" w:rsidRPr="00934F44" w14:paraId="25D1BDA5" w14:textId="77777777">
            <w:trPr>
              <w:trHeight w:val="360"/>
              <w:jc w:val="center"/>
            </w:trPr>
            <w:tc>
              <w:tcPr>
                <w:tcW w:w="5000" w:type="pct"/>
                <w:vAlign w:val="center"/>
              </w:tcPr>
              <w:p w14:paraId="7ADDB0BA" w14:textId="77777777"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704663">
                  <w:rPr>
                    <w:rFonts w:cstheme="minorHAnsi"/>
                    <w:b/>
                    <w:bCs/>
                    <w:i/>
                    <w:color w:val="FF0000"/>
                  </w:rPr>
                  <w:t>[</w:t>
                </w:r>
                <w:r w:rsidR="000F54D6" w:rsidRPr="00704663">
                  <w:rPr>
                    <w:rFonts w:cstheme="minorHAnsi"/>
                    <w:b/>
                    <w:bCs/>
                    <w:i/>
                    <w:color w:val="FF0000"/>
                  </w:rPr>
                  <w:t>02</w:t>
                </w:r>
                <w:r w:rsidRPr="00704663">
                  <w:rPr>
                    <w:rFonts w:cstheme="minorHAnsi"/>
                    <w:b/>
                    <w:bCs/>
                    <w:i/>
                    <w:color w:val="FF0000"/>
                  </w:rPr>
                  <w:t>]</w:t>
                </w:r>
              </w:p>
            </w:tc>
          </w:tr>
          <w:tr w:rsidR="00C82195" w:rsidRPr="00934F44" w14:paraId="15923C18" w14:textId="77777777">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14:paraId="7A6526E6" w14:textId="77777777" w:rsidR="00C82195" w:rsidRPr="00934F44" w:rsidRDefault="00C82195" w:rsidP="00C82195">
                    <w:pPr>
                      <w:pStyle w:val="Sinespaciado"/>
                      <w:jc w:val="center"/>
                      <w:rPr>
                        <w:rFonts w:cstheme="minorHAnsi"/>
                        <w:b/>
                        <w:bCs/>
                      </w:rPr>
                    </w:pPr>
                    <w:r w:rsidRPr="00704663">
                      <w:rPr>
                        <w:rFonts w:cstheme="minorHAnsi"/>
                        <w:b/>
                        <w:bCs/>
                        <w:color w:val="FF0000"/>
                      </w:rPr>
                      <w:t>16 de octubre de 2026</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0F9C69E4"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52869203" w14:textId="4BB9568C" w:rsidR="00C82195" w:rsidRPr="00934F44" w:rsidRDefault="0051254F" w:rsidP="00856856">
                    <w:pPr>
                      <w:pStyle w:val="Sinespaciado"/>
                      <w:rPr>
                        <w:rFonts w:cstheme="minorHAnsi"/>
                      </w:rPr>
                    </w:pPr>
                    <w:r>
                      <w:rPr>
                        <w:rFonts w:eastAsiaTheme="minorHAnsi" w:cstheme="minorHAnsi"/>
                        <w:color w:val="FF0000"/>
                        <w:lang w:val="es-AR"/>
                      </w:rPr>
                      <w:t>Documento de Diseño basado en UML</w:t>
                    </w:r>
                  </w:p>
                </w:tc>
              </w:sdtContent>
            </w:sdt>
          </w:tr>
        </w:tbl>
        <w:p w14:paraId="7E96F969" w14:textId="77777777" w:rsidR="00C82195" w:rsidRPr="00934F44" w:rsidRDefault="00C82195">
          <w:pPr>
            <w:rPr>
              <w:rFonts w:cstheme="minorHAnsi"/>
              <w:lang w:val="es-ES"/>
            </w:rPr>
          </w:pPr>
        </w:p>
        <w:p w14:paraId="00EB2A15" w14:textId="77777777" w:rsidR="00C82195" w:rsidRPr="00934F44" w:rsidRDefault="00C82195">
          <w:pPr>
            <w:rPr>
              <w:rFonts w:cstheme="minorHAnsi"/>
              <w:sz w:val="32"/>
            </w:rPr>
          </w:pPr>
          <w:r w:rsidRPr="00934F44">
            <w:rPr>
              <w:rFonts w:cstheme="minorHAnsi"/>
              <w:sz w:val="32"/>
            </w:rPr>
            <w:br w:type="page"/>
          </w:r>
        </w:p>
      </w:sdtContent>
    </w:sdt>
    <w:p>
      <w:pPr>
        <w:pStyle w:val="Ttulo1"/>
      </w:pPr>
      <w:r>
        <w:t>Contenido</w:t>
      </w:r>
    </w:p>
    <w:p>
      <w:r>
        <w:t>Ficha del documento</w:t>
      </w:r>
    </w:p>
    <w:p>
      <w:r>
        <w:t>Integrantes</w:t>
      </w:r>
    </w:p>
    <w:p>
      <w:r>
        <w:t>Diseño</w:t>
      </w:r>
    </w:p>
    <w:p>
      <w:r>
        <w:t>Diagrama de Casos de Uso</w:t>
      </w:r>
    </w:p>
    <w:p>
      <w:r>
        <w:t>Vista Lógica</w:t>
      </w:r>
    </w:p>
    <w:p>
      <w:r>
        <w:t>Vista Despliegue</w:t>
      </w:r>
    </w:p>
    <w:p>
      <w:pPr>
        <w:pStyle w:val="Ttulo1"/>
      </w:pPr>
      <w:r>
        <w:t>Ficha del documento</w:t>
      </w:r>
    </w:p>
    <w:tbl>
      <w:tblPr>
        <w:tblW w:type="auto" w:w="0"/>
        <w:tblLayout w:type="fixed"/>
        <w:tblLook w:firstColumn="1" w:firstRow="1" w:lastColumn="0" w:lastRow="0" w:noHBand="0" w:noVBand="1" w:val="04A0"/>
      </w:tblPr>
      <w:tblGrid>
        <w:gridCol w:w="2209"/>
        <w:gridCol w:w="2209"/>
        <w:gridCol w:w="2209"/>
        <w:gridCol w:w="2209"/>
      </w:tblGrid>
      <w:tr>
        <w:trPr>
          <w:tblHeader/>
        </w:trPr>
        <w:tc>
          <w:tcPr>
            <w:tcW w:type="dxa" w:w="2209"/>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Fecha</w:t>
            </w:r>
          </w:p>
        </w:tc>
        <w:tc>
          <w:tcPr>
            <w:tcW w:type="dxa" w:w="2209"/>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Revisión</w:t>
            </w:r>
          </w:p>
        </w:tc>
        <w:tc>
          <w:tcPr>
            <w:tcW w:type="dxa" w:w="2209"/>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Autores</w:t>
            </w:r>
          </w:p>
        </w:tc>
        <w:tc>
          <w:tcPr>
            <w:tcW w:type="dxa" w:w="2209"/>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Modificación</w:t>
            </w:r>
          </w:p>
        </w:tc>
      </w:tr>
      <w:tr>
        <w:tc>
          <w:tcPr>
            <w:tcW w:type="dxa" w:w="2209"/>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16-10-2026</w:t>
            </w:r>
          </w:p>
        </w:tc>
        <w:tc>
          <w:tcPr>
            <w:tcW w:type="dxa" w:w="2209"/>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02</w:t>
            </w:r>
          </w:p>
        </w:tc>
        <w:tc>
          <w:tcPr>
            <w:tcW w:type="dxa" w:w="2209"/>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Daniel Ávila y Raúl González</w:t>
            </w:r>
          </w:p>
        </w:tc>
        <w:tc>
          <w:tcPr>
            <w:tcW w:type="dxa" w:w="2209"/>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Actualización al release público y evidencias de Fase 2</w:t>
            </w:r>
          </w:p>
        </w:tc>
      </w:tr>
    </w:tbl>
    <w:p>
      <w:r>
        <w:t>Estado de revisión: preparado para revisión de ambos integrantes. No registra aprobación ni firma de terceros.</w:t>
      </w:r>
    </w:p>
    <w:p>
      <w:pPr>
        <w:pStyle w:val="Ttulo1"/>
      </w:pPr>
      <w:r>
        <w:t>Integrantes</w:t>
      </w:r>
    </w:p>
    <w:tbl>
      <w:tblPr>
        <w:tblW w:type="auto" w:w="0"/>
        <w:tblLayout w:type="fixed"/>
        <w:tblLook w:firstColumn="1" w:firstRow="1" w:lastColumn="0" w:lastRow="0" w:noHBand="0" w:noVBand="1" w:val="04A0"/>
      </w:tblPr>
      <w:tblGrid>
        <w:gridCol w:w="4419"/>
        <w:gridCol w:w="4419"/>
      </w:tblGrid>
      <w:tr>
        <w:trPr>
          <w:tblHeader/>
        </w:trPr>
        <w:tc>
          <w:tcPr>
            <w:tcW w:type="dxa" w:w="4419"/>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Nombre</w:t>
            </w:r>
          </w:p>
        </w:tc>
        <w:tc>
          <w:tcPr>
            <w:tcW w:type="dxa" w:w="4419"/>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Responsabilidad</w:t>
            </w:r>
          </w:p>
        </w:tc>
      </w:tr>
      <w:tr>
        <w:tc>
          <w:tcPr>
            <w:tcW w:type="dxa" w:w="4419"/>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Daniel Ávila</w:t>
            </w:r>
          </w:p>
        </w:tc>
        <w:tc>
          <w:tcPr>
            <w:tcW w:type="dxa" w:w="4419"/>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Datos y lógica de negocio; colaboración en captura, formularios y publicación.</w:t>
            </w:r>
          </w:p>
        </w:tc>
      </w:tr>
      <w:tr>
        <w:tc>
          <w:tcPr>
            <w:tcW w:type="dxa" w:w="4419"/>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Raúl González</w:t>
            </w:r>
          </w:p>
        </w:tc>
        <w:tc>
          <w:tcPr>
            <w:tcW w:type="dxa" w:w="4419"/>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Infraestructura, plataforma y validación; informe de avance y colaboración en sincronización.</w:t>
            </w:r>
          </w:p>
        </w:tc>
      </w:tr>
    </w:tbl>
    <w:p>
      <w:pPr>
        <w:pStyle w:val="Ttulo1"/>
      </w:pPr>
      <w:r>
        <w:t>Diseño</w:t>
      </w:r>
    </w:p>
    <w:p>
      <w:r>
        <w:t>Arquitectura offline-first cliente-servidor con API de monolito modular. El patrón outbox persiste el envío local antes del transporte. Idempotencia es una propiedad de la ingesta, no una garantía de que la red entregue una sola vez. PostgreSQL aplica RLS por empresa.</w:t>
      </w:r>
    </w:p>
    <w:p>
      <w:pPr>
        <w:pStyle w:val="Ttulo2"/>
      </w:pPr>
      <w:r>
        <w:t>Diagrama de Casos de Uso</w:t>
      </w:r>
    </w:p>
    <w:p>
      <w:pPr>
        <w:keepNext/>
      </w:pPr>
      <w:r>
        <w:t>Actores y operaciones principales. Los permisos globales de plataforma no equivalen a acceso operativo normal de una empresa.</w:t>
      </w:r>
    </w:p>
    <w:p>
      <w:pPr>
        <w:keepNext/>
      </w:pPr>
      <w:r>
        <w:drawing>
          <wp:inline xmlns:a="http://schemas.openxmlformats.org/drawingml/2006/main" xmlns:pic="http://schemas.openxmlformats.org/drawingml/2006/picture">
            <wp:extent cx="5486400" cy="4737765"/>
            <wp:docPr id="1" name="Picture 1"/>
            <wp:cNvGraphicFramePr>
              <a:graphicFrameLocks noChangeAspect="1"/>
            </wp:cNvGraphicFramePr>
            <a:graphic>
              <a:graphicData uri="http://schemas.openxmlformats.org/drawingml/2006/picture">
                <pic:pic>
                  <pic:nvPicPr>
                    <pic:cNvPr id="0" name="casos-uso.png"/>
                    <pic:cNvPicPr/>
                  </pic:nvPicPr>
                  <pic:blipFill>
                    <a:blip r:embed="rId18"/>
                    <a:stretch>
                      <a:fillRect/>
                    </a:stretch>
                  </pic:blipFill>
                  <pic:spPr>
                    <a:xfrm>
                      <a:off x="0" y="0"/>
                      <a:ext cx="5486400" cy="4737765"/>
                    </a:xfrm>
                    <a:prstGeom prst="rect"/>
                  </pic:spPr>
                </pic:pic>
              </a:graphicData>
            </a:graphic>
          </wp:inline>
        </w:drawing>
      </w:r>
    </w:p>
    <w:p>
      <w:r>
        <w:t>Fuente: elaboración a partir de contratos y esquema del release 8185fd7. SVG editable y fuentes técnicas en Evidencias Proyecto/Documentacion.</w:t>
      </w:r>
    </w:p>
    <w:p>
      <w:pPr>
        <w:pStyle w:val="Ttulo2"/>
      </w:pPr>
      <w:r>
        <w:t>Vista Lógica</w:t>
      </w:r>
    </w:p>
    <w:p>
      <w:pPr>
        <w:pStyle w:val="Ttulo3"/>
      </w:pPr>
      <w:r>
        <w:t>Modelo E-R</w:t>
      </w:r>
    </w:p>
    <w:p>
      <w:pPr>
        <w:keepNext/>
      </w:pPr>
      <w:r>
        <w:t>Vista del núcleo. El modelo completo y el esquema incluyen secciones, ítems, importaciones, hallazgos, bitácoras, sesiones, logs y conflictos. La revisión de inspección se resuelve por template_id y template_version; no se inventa una FK inspection.template_revision_id.</w:t>
      </w:r>
    </w:p>
    <w:p>
      <w:pPr>
        <w:keepNext/>
      </w:pPr>
      <w:r>
        <w:drawing>
          <wp:inline xmlns:a="http://schemas.openxmlformats.org/drawingml/2006/main" xmlns:pic="http://schemas.openxmlformats.org/drawingml/2006/picture">
            <wp:extent cx="5486400" cy="3490040"/>
            <wp:docPr id="2" name="Picture 2"/>
            <wp:cNvGraphicFramePr>
              <a:graphicFrameLocks noChangeAspect="1"/>
            </wp:cNvGraphicFramePr>
            <a:graphic>
              <a:graphicData uri="http://schemas.openxmlformats.org/drawingml/2006/picture">
                <pic:pic>
                  <pic:nvPicPr>
                    <pic:cNvPr id="0" name="modelo-er.png"/>
                    <pic:cNvPicPr/>
                  </pic:nvPicPr>
                  <pic:blipFill>
                    <a:blip r:embed="rId19"/>
                    <a:stretch>
                      <a:fillRect/>
                    </a:stretch>
                  </pic:blipFill>
                  <pic:spPr>
                    <a:xfrm>
                      <a:off x="0" y="0"/>
                      <a:ext cx="5486400" cy="3490040"/>
                    </a:xfrm>
                    <a:prstGeom prst="rect"/>
                  </pic:spPr>
                </pic:pic>
              </a:graphicData>
            </a:graphic>
          </wp:inline>
        </w:drawing>
      </w:r>
    </w:p>
    <w:p>
      <w:r>
        <w:t>Fuente: elaboración a partir de contratos y esquema del release 8185fd7. SVG editable y fuentes técnicas en Evidencias Proyecto/Documentacion.</w:t>
      </w:r>
    </w:p>
    <w:p>
      <w:pPr>
        <w:pStyle w:val="Ttulo3"/>
      </w:pPr>
      <w:r>
        <w:t>Diagrama de Clases</w:t>
      </w:r>
    </w:p>
    <w:p>
      <w:pPr>
        <w:keepNext/>
      </w:pPr>
      <w:r>
        <w:t>Vista de tipos y responsabilidades. InspectionRow y OutboxRow son tipos locales. db.ts y sync.ts son módulos de funciones, no clases Repository. SyncService es un servicio NestJS. Los nombres de campos del esquema SQL se consultan en el diccionario.</w:t>
      </w:r>
    </w:p>
    <w:p>
      <w:pPr>
        <w:keepNext/>
      </w:pPr>
      <w:r>
        <w:drawing>
          <wp:inline xmlns:a="http://schemas.openxmlformats.org/drawingml/2006/main" xmlns:pic="http://schemas.openxmlformats.org/drawingml/2006/picture">
            <wp:extent cx="5486400" cy="2992745"/>
            <wp:docPr id="3" name="Picture 3"/>
            <wp:cNvGraphicFramePr>
              <a:graphicFrameLocks noChangeAspect="1"/>
            </wp:cNvGraphicFramePr>
            <a:graphic>
              <a:graphicData uri="http://schemas.openxmlformats.org/drawingml/2006/picture">
                <pic:pic>
                  <pic:nvPicPr>
                    <pic:cNvPr id="0" name="clases.png"/>
                    <pic:cNvPicPr/>
                  </pic:nvPicPr>
                  <pic:blipFill>
                    <a:blip r:embed="rId20"/>
                    <a:stretch>
                      <a:fillRect/>
                    </a:stretch>
                  </pic:blipFill>
                  <pic:spPr>
                    <a:xfrm>
                      <a:off x="0" y="0"/>
                      <a:ext cx="5486400" cy="2992745"/>
                    </a:xfrm>
                    <a:prstGeom prst="rect"/>
                  </pic:spPr>
                </pic:pic>
              </a:graphicData>
            </a:graphic>
          </wp:inline>
        </w:drawing>
      </w:r>
    </w:p>
    <w:p>
      <w:r>
        <w:t>Fuente: elaboración a partir de contratos y esquema del release 8185fd7. SVG editable y fuentes técnicas en Evidencias Proyecto/Documentacion.</w:t>
      </w:r>
    </w:p>
    <w:p>
      <w:pPr>
        <w:pStyle w:val="Ttulo3"/>
      </w:pPr>
      <w:r>
        <w:t>Diagrama de Secuencia</w:t>
      </w:r>
    </w:p>
    <w:p>
      <w:pPr>
        <w:keepNext/>
      </w:pPr>
      <w:r>
        <w:t>El dispositivo guarda primero. La sincronización requiere red y ausencia de pausa manual. La confirmación se aplica por registro y los pendientes fallidos se conservan.</w:t>
      </w:r>
    </w:p>
    <w:p>
      <w:pPr>
        <w:keepNext/>
      </w:pPr>
      <w:r>
        <w:drawing>
          <wp:inline xmlns:a="http://schemas.openxmlformats.org/drawingml/2006/main" xmlns:pic="http://schemas.openxmlformats.org/drawingml/2006/picture">
            <wp:extent cx="5486400" cy="4139934"/>
            <wp:docPr id="4" name="Picture 4"/>
            <wp:cNvGraphicFramePr>
              <a:graphicFrameLocks noChangeAspect="1"/>
            </wp:cNvGraphicFramePr>
            <a:graphic>
              <a:graphicData uri="http://schemas.openxmlformats.org/drawingml/2006/picture">
                <pic:pic>
                  <pic:nvPicPr>
                    <pic:cNvPr id="0" name="secuencia.png"/>
                    <pic:cNvPicPr/>
                  </pic:nvPicPr>
                  <pic:blipFill>
                    <a:blip r:embed="rId21"/>
                    <a:stretch>
                      <a:fillRect/>
                    </a:stretch>
                  </pic:blipFill>
                  <pic:spPr>
                    <a:xfrm>
                      <a:off x="0" y="0"/>
                      <a:ext cx="5486400" cy="4139934"/>
                    </a:xfrm>
                    <a:prstGeom prst="rect"/>
                  </pic:spPr>
                </pic:pic>
              </a:graphicData>
            </a:graphic>
          </wp:inline>
        </w:drawing>
      </w:r>
    </w:p>
    <w:p>
      <w:r>
        <w:t>Fuente: elaboración a partir de contratos y esquema del release 8185fd7. SVG editable y fuentes técnicas en Evidencias Proyecto/Documentacion.</w:t>
      </w:r>
    </w:p>
    <w:p>
      <w:pPr>
        <w:pStyle w:val="Ttulo2"/>
      </w:pPr>
      <w:r>
        <w:t>Vista Despliegue</w:t>
      </w:r>
    </w:p>
    <w:p>
      <w:pPr>
        <w:pStyle w:val="Ttulo3"/>
      </w:pPr>
      <w:r>
        <w:t>Diagrama de Componentes</w:t>
      </w:r>
    </w:p>
    <w:p>
      <w:pPr>
        <w:keepNext/>
      </w:pPr>
      <w:r>
        <w:t>Una VM A1 ARM en Valparaíso (2 OCPU, 12 GB RAM), con discos de 50 + 50 GB. Caddy publica HTTPS. API y PostgreSQL permanecen internos. Las fotos y los Excel se almacenan en volumen; Object Storage sólo recibe respaldos privados cifrados.</w:t>
      </w:r>
    </w:p>
    <w:p>
      <w:pPr>
        <w:keepNext/>
      </w:pPr>
      <w:r>
        <w:drawing>
          <wp:inline xmlns:a="http://schemas.openxmlformats.org/drawingml/2006/main" xmlns:pic="http://schemas.openxmlformats.org/drawingml/2006/picture">
            <wp:extent cx="5486400" cy="3242290"/>
            <wp:docPr id="5" name="Picture 5"/>
            <wp:cNvGraphicFramePr>
              <a:graphicFrameLocks noChangeAspect="1"/>
            </wp:cNvGraphicFramePr>
            <a:graphic>
              <a:graphicData uri="http://schemas.openxmlformats.org/drawingml/2006/picture">
                <pic:pic>
                  <pic:nvPicPr>
                    <pic:cNvPr id="0" name="componentes.png"/>
                    <pic:cNvPicPr/>
                  </pic:nvPicPr>
                  <pic:blipFill>
                    <a:blip r:embed="rId22"/>
                    <a:stretch>
                      <a:fillRect/>
                    </a:stretch>
                  </pic:blipFill>
                  <pic:spPr>
                    <a:xfrm>
                      <a:off x="0" y="0"/>
                      <a:ext cx="5486400" cy="3242290"/>
                    </a:xfrm>
                    <a:prstGeom prst="rect"/>
                  </pic:spPr>
                </pic:pic>
              </a:graphicData>
            </a:graphic>
          </wp:inline>
        </w:drawing>
      </w:r>
    </w:p>
    <w:p>
      <w:r>
        <w:t>Fuente: elaboración a partir de contratos y esquema del release 8185fd7. SVG editable y fuentes técnicas en Evidencias Proyecto/Documentacion.</w:t>
      </w:r>
    </w:p>
    <w:p>
      <w:r>
        <w:t>Quedan pendientes el recorrido público controlado de importación Excel y foto offline, la instalación en Android/iOS, la sesión prolongada y la revisión cruzada del PR #160. La auditoría diaria de Actions requiere incorporar su workflow a main. El respaldo diario del servidor sí está activo.</w:t>
      </w:r>
    </w:p>
    <w:sectPr w:rsidR="00CC4019" w:rsidRPr="00CC4019"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AE78A2" w14:textId="77777777" w:rsidR="002237D3" w:rsidRDefault="002237D3" w:rsidP="00893114">
      <w:pPr>
        <w:spacing w:after="0" w:line="240" w:lineRule="auto"/>
      </w:pPr>
      <w:r>
        <w:separator/>
      </w:r>
    </w:p>
  </w:endnote>
  <w:endnote w:type="continuationSeparator" w:id="0">
    <w:p w14:paraId="5460595B" w14:textId="77777777" w:rsidR="002237D3" w:rsidRDefault="002237D3"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w:t>
        </w:r>
        <w:r w:rsidR="00D30738">
          <w:rPr>
            <w:noProof/>
          </w:rPr>
          <w:t>3</w:t>
        </w:r>
        <w:r>
          <w:rPr>
            <w:noProof/>
          </w:rPr>
          <w:fldChar w:fldCharType="end"/>
        </w:r>
      </w:p>
    </w:sdtContent>
  </w:sdt>
  <w:p w14:paraId="13151B90"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8F45D6" w14:textId="77777777" w:rsidR="002237D3" w:rsidRDefault="002237D3" w:rsidP="00893114">
      <w:pPr>
        <w:spacing w:after="0" w:line="240" w:lineRule="auto"/>
      </w:pPr>
      <w:r>
        <w:separator/>
      </w:r>
    </w:p>
  </w:footnote>
  <w:footnote w:type="continuationSeparator" w:id="0">
    <w:p w14:paraId="4BE1197D" w14:textId="77777777" w:rsidR="002237D3" w:rsidRDefault="002237D3"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41CD21" w14:textId="65505679" w:rsidR="007653EB" w:rsidRPr="00704663" w:rsidRDefault="0051254F" w:rsidP="00893114">
    <w:pPr>
      <w:pStyle w:val="Encabezado"/>
      <w:pBdr>
        <w:bottom w:val="single" w:sz="4" w:space="1" w:color="auto"/>
      </w:pBdr>
      <w:jc w:val="right"/>
      <w:rPr>
        <w:color w:val="FF0000"/>
      </w:rPr>
    </w:pPr>
    <w:r>
      <w:rPr>
        <w:color w:val="FF0000"/>
      </w:rPr>
      <w:t>Documento de Diseño</w:t>
    </w:r>
    <w:r w:rsidR="007653EB" w:rsidRPr="00704663">
      <w:rPr>
        <w:color w:val="FF0000"/>
      </w:rPr>
      <w:t xml:space="preserve"> </w:t>
    </w:r>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317540622">
    <w:abstractNumId w:val="0"/>
  </w:num>
  <w:num w:numId="2" w16cid:durableId="2045672853">
    <w:abstractNumId w:val="7"/>
  </w:num>
  <w:num w:numId="3" w16cid:durableId="1798642824">
    <w:abstractNumId w:val="1"/>
  </w:num>
  <w:num w:numId="4" w16cid:durableId="983237737">
    <w:abstractNumId w:val="10"/>
  </w:num>
  <w:num w:numId="5" w16cid:durableId="490171255">
    <w:abstractNumId w:val="11"/>
  </w:num>
  <w:num w:numId="6" w16cid:durableId="340814691">
    <w:abstractNumId w:val="2"/>
  </w:num>
  <w:num w:numId="7" w16cid:durableId="1344936245">
    <w:abstractNumId w:val="6"/>
  </w:num>
  <w:num w:numId="8" w16cid:durableId="1353531980">
    <w:abstractNumId w:val="8"/>
  </w:num>
  <w:num w:numId="9" w16cid:durableId="1518156833">
    <w:abstractNumId w:val="4"/>
  </w:num>
  <w:num w:numId="10" w16cid:durableId="1113330907">
    <w:abstractNumId w:val="3"/>
  </w:num>
  <w:num w:numId="11" w16cid:durableId="526329763">
    <w:abstractNumId w:val="9"/>
  </w:num>
  <w:num w:numId="12" w16cid:durableId="67458668">
    <w:abstractNumId w:val="5"/>
  </w:num>
  <w:num w:numId="13" w16cid:durableId="137234301">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44E06"/>
    <w:rsid w:val="00052E1B"/>
    <w:rsid w:val="000609BA"/>
    <w:rsid w:val="000762FA"/>
    <w:rsid w:val="00082A7D"/>
    <w:rsid w:val="00095C47"/>
    <w:rsid w:val="000A5C73"/>
    <w:rsid w:val="000D643C"/>
    <w:rsid w:val="000F54D6"/>
    <w:rsid w:val="00112055"/>
    <w:rsid w:val="0015243A"/>
    <w:rsid w:val="001606C0"/>
    <w:rsid w:val="001E364C"/>
    <w:rsid w:val="001F6FE1"/>
    <w:rsid w:val="002037C1"/>
    <w:rsid w:val="00222FDF"/>
    <w:rsid w:val="002237D3"/>
    <w:rsid w:val="00232730"/>
    <w:rsid w:val="002435E0"/>
    <w:rsid w:val="0027225D"/>
    <w:rsid w:val="002C06A7"/>
    <w:rsid w:val="002D0893"/>
    <w:rsid w:val="002E253F"/>
    <w:rsid w:val="002E3F8E"/>
    <w:rsid w:val="002F7B55"/>
    <w:rsid w:val="003029DC"/>
    <w:rsid w:val="00311984"/>
    <w:rsid w:val="00326951"/>
    <w:rsid w:val="003D0BC7"/>
    <w:rsid w:val="003E623D"/>
    <w:rsid w:val="003F1208"/>
    <w:rsid w:val="004236A8"/>
    <w:rsid w:val="004425EF"/>
    <w:rsid w:val="0046300E"/>
    <w:rsid w:val="004B416E"/>
    <w:rsid w:val="004C1EDF"/>
    <w:rsid w:val="004D1212"/>
    <w:rsid w:val="00501280"/>
    <w:rsid w:val="0051254F"/>
    <w:rsid w:val="005176B1"/>
    <w:rsid w:val="00520512"/>
    <w:rsid w:val="005216A1"/>
    <w:rsid w:val="00555BA9"/>
    <w:rsid w:val="005736D1"/>
    <w:rsid w:val="005A6AD8"/>
    <w:rsid w:val="005B27DB"/>
    <w:rsid w:val="005C7BC8"/>
    <w:rsid w:val="005D5916"/>
    <w:rsid w:val="005D79BE"/>
    <w:rsid w:val="005F23A4"/>
    <w:rsid w:val="005F2656"/>
    <w:rsid w:val="00654110"/>
    <w:rsid w:val="00657AD9"/>
    <w:rsid w:val="00660660"/>
    <w:rsid w:val="006A58C0"/>
    <w:rsid w:val="006A7105"/>
    <w:rsid w:val="00704663"/>
    <w:rsid w:val="007144E1"/>
    <w:rsid w:val="007653EB"/>
    <w:rsid w:val="007C7D5B"/>
    <w:rsid w:val="007D7AEC"/>
    <w:rsid w:val="007F74B8"/>
    <w:rsid w:val="0081790B"/>
    <w:rsid w:val="00823D81"/>
    <w:rsid w:val="0084430C"/>
    <w:rsid w:val="008476D7"/>
    <w:rsid w:val="00847934"/>
    <w:rsid w:val="00856856"/>
    <w:rsid w:val="00870B20"/>
    <w:rsid w:val="0087640A"/>
    <w:rsid w:val="00893114"/>
    <w:rsid w:val="008A53CF"/>
    <w:rsid w:val="008A7A4D"/>
    <w:rsid w:val="008D5423"/>
    <w:rsid w:val="00934F44"/>
    <w:rsid w:val="009B5747"/>
    <w:rsid w:val="009D2A4F"/>
    <w:rsid w:val="00A037C3"/>
    <w:rsid w:val="00A0382E"/>
    <w:rsid w:val="00A24842"/>
    <w:rsid w:val="00A3604F"/>
    <w:rsid w:val="00A52007"/>
    <w:rsid w:val="00A9405C"/>
    <w:rsid w:val="00AA0B1F"/>
    <w:rsid w:val="00AC3A89"/>
    <w:rsid w:val="00B13E37"/>
    <w:rsid w:val="00B25D92"/>
    <w:rsid w:val="00B80F3D"/>
    <w:rsid w:val="00C14CFA"/>
    <w:rsid w:val="00C15C88"/>
    <w:rsid w:val="00C51051"/>
    <w:rsid w:val="00C525E5"/>
    <w:rsid w:val="00C61DE5"/>
    <w:rsid w:val="00C82195"/>
    <w:rsid w:val="00C82FDE"/>
    <w:rsid w:val="00C861E5"/>
    <w:rsid w:val="00CC4019"/>
    <w:rsid w:val="00CD4B11"/>
    <w:rsid w:val="00D03FF3"/>
    <w:rsid w:val="00D23CFE"/>
    <w:rsid w:val="00D30506"/>
    <w:rsid w:val="00D30738"/>
    <w:rsid w:val="00DB571C"/>
    <w:rsid w:val="00DD3542"/>
    <w:rsid w:val="00F4443B"/>
    <w:rsid w:val="00F610F9"/>
    <w:rsid w:val="00F70285"/>
    <w:rsid w:val="00F93550"/>
    <w:rsid w:val="00FE05BC"/>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pPr>
      <w:spacing w:line="240" w:lineRule="auto"/>
    </w:pPr>
    <w:rPr>
      <w:rFonts w:ascii="Arial" w:hAnsi="Arial"/>
      <w:color w:val="000000"/>
      <w:sz w:val="22"/>
    </w:rPr>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ascii="Arial" w:hAnsi="Arial"/>
      <w:b/>
      <w:bCs/>
      <w:color w:val="000000"/>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ascii="Arial" w:hAnsi="Arial"/>
      <w:b/>
      <w:bCs/>
      <w:color w:val="000000"/>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outlineLvl w:val="2"/>
    </w:pPr>
    <w:rPr>
      <w:rFonts w:asciiTheme="majorHAnsi" w:eastAsia="Times New Roman" w:hAnsiTheme="majorHAnsi" w:cs="Arial" w:ascii="Arial" w:hAnsi="Arial"/>
      <w:b/>
      <w:bCs/>
      <w:color w:val="000000"/>
      <w:sz w:val="26"/>
      <w:szCs w:val="26"/>
      <w:lang w:val="es-ES" w:eastAsia="es-ES"/>
    </w:rPr>
  </w:style>
  <w:style w:type="paragraph" w:styleId="Ttulo4">
    <w:name w:val="heading 4"/>
    <w:basedOn w:val="Normal"/>
    <w:next w:val="Normal"/>
    <w:link w:val="Ttulo4Car"/>
    <w:uiPriority w:val="9"/>
    <w:semiHidden/>
    <w:unhideWhenUsed/>
    <w:qFormat/>
    <w:rsid w:val="00C61DE5"/>
    <w:pPr>
      <w:keepNext/>
      <w:keepLines/>
      <w:numPr>
        <w:ilvl w:val="3"/>
        <w:numId w:val="12"/>
      </w:numPr>
      <w:spacing w:before="40" w:after="0"/>
      <w:outlineLvl w:val="3"/>
    </w:pPr>
    <w:rPr>
      <w:rFonts w:asciiTheme="majorHAnsi" w:eastAsiaTheme="majorEastAsia" w:hAnsiTheme="majorHAnsi" w:cstheme="majorBidi" w:ascii="Arial" w:hAnsi="Arial"/>
      <w:i/>
      <w:iCs/>
      <w:color w:val="000000"/>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spacing w:line="240" w:lineRule="auto"/>
      <w:ind w:left="720"/>
      <w:contextualSpacing/>
    </w:pPr>
    <w:rPr>
      <w:rFonts w:ascii="Arial" w:hAnsi="Arial"/>
      <w:color w:val="000000"/>
      <w:sz w:val="22"/>
    </w:r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semiHidden/>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 w:type="paragraph" w:customStyle="1" w:styleId="ListBullet">
    <w:name w:val="List Bullet"/>
    <w:basedOn w:val="Normal"/>
    <w:pPr>
      <w:spacing w:after="10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Aptos Display">
    <w:panose1 w:val="020B0004020202020204"/>
    <w:charset w:val="01"/>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04AB9"/>
    <w:rsid w:val="000609BA"/>
    <w:rsid w:val="00153A14"/>
    <w:rsid w:val="00194DF5"/>
    <w:rsid w:val="001B14B7"/>
    <w:rsid w:val="002835FC"/>
    <w:rsid w:val="002C06A7"/>
    <w:rsid w:val="004F7F49"/>
    <w:rsid w:val="0057410B"/>
    <w:rsid w:val="00595623"/>
    <w:rsid w:val="005B27DB"/>
    <w:rsid w:val="006E2FCC"/>
    <w:rsid w:val="00704192"/>
    <w:rsid w:val="00825B36"/>
    <w:rsid w:val="00960213"/>
    <w:rsid w:val="00AE6FE7"/>
    <w:rsid w:val="00BD2436"/>
    <w:rsid w:val="00C47BA2"/>
    <w:rsid w:val="00C5036F"/>
    <w:rsid w:val="00C861E5"/>
    <w:rsid w:val="00CF44FB"/>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Documento de Diseño basado en UML</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3.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4.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E9AAF0E-D63F-459F-A0FB-CDCE9F728F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5</Pages>
  <Words>286</Words>
  <Characters>1507</Characters>
  <Application>Microsoft Office Word</Application>
  <DocSecurity>0</DocSecurity>
  <Lines>125</Lines>
  <Paragraphs>89</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Diseño</dc:title>
  <dc:subject>Terreno Conectado</dc:subject>
  <dc:creator>Daniel Ávila y Raúl González</dc:creator>
  <cp:lastModifiedBy>Daniel Ávila y Raúl González</cp:lastModifiedBy>
  <cp:revision>45</cp:revision>
  <dcterms:created xsi:type="dcterms:W3CDTF">2016-01-10T17:41:00Z</dcterms:created>
  <dcterms:modified xsi:type="dcterms:W3CDTF">2026-09-28T19:20:00Z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