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Raúl González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Realizar pruebas de certificación tanto de productos como de procesos utilizando buenas prácticas de la industria.</w:t>
            </w:r>
          </w:p>
        </w:tc>
        <w:tc>
          <w:tcPr>
            <w:tcW w:w="1017" w:type="dxa"/>
            <w:tcMar/>
          </w:tcPr>
          <w:p>
            <w: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Sólido en automatización de pruebas con Vitest, Playwright y Testcontainers, y en simular condiciones de desconexión online/offline.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Gestionar proyectos informáticos, ofreciendo alternativas para la toma de decisiones según los requerimientos de la organización.</w:t>
            </w:r>
          </w:p>
        </w:tc>
        <w:tc>
          <w:tcPr>
            <w:tcW w:w="1017" w:type="dxa"/>
            <w:tcMar/>
          </w:tcPr>
          <w:p>
            <w: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Experiencia coordinando el tablero del equipo, milestones M0–M3 y Definition of Ready/Done con trazabilidad commit→issue.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Construir modelos de datos para soportar los requerimientos de la organización, con un diseño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Buen manejo de persistencia y consultas en PostgreSQL 16; me falta profundizar en optimización de consultas complejas.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Desarrollar una solución de software utilizando técnicas que sistematicen el proceso de desarrollo y mantenimiento.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Fuerte en contenedores (Docker Compose), Caddy, CI/CD y despliegue; sigo ampliando desarrollo de features de la aplicación.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