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Regra de Extração</w:t>
      </w:r>
    </w:p>
    <w:p>
      <w:r>
        <w:rPr>
          <w:b/>
          <w:color w:val="2E75B6"/>
          <w:sz w:val="26"/>
        </w:rPr>
        <w:t>Dados SIOPE — ISS, Cota-Parte do ICMS, ICMS e Compensação de ICMS</w:t>
      </w:r>
    </w:p>
    <w:p>
      <w:r>
        <w:rPr>
          <w:color w:val="595959"/>
          <w:sz w:val="20"/>
        </w:rPr>
        <w:t xml:space="preserve">Documento de referência para a extração (API SIOPE/FNDE) e a consolidação da planilha </w:t>
      </w:r>
      <w:r>
        <w:rPr>
          <w:rFonts w:ascii="Consolas" w:hAnsi="Consolas"/>
          <w:color w:val="595959"/>
          <w:sz w:val="19"/>
        </w:rPr>
        <w:t>Dados SIOPE - ICMS e ISS.xlsx</w:t>
      </w:r>
      <w:r>
        <w:rPr>
          <w:color w:val="595959"/>
          <w:sz w:val="20"/>
        </w:rPr>
        <w:t>.</w:t>
      </w:r>
    </w:p>
    <w:tbl>
      <w:tblPr>
        <w:tblW w:type="auto" w:w="0"/>
        <w:jc w:val="center"/>
        <w:tblLook w:firstColumn="1" w:firstRow="1" w:lastColumn="0" w:lastRow="0" w:noHBand="0" w:noVBand="1" w:val="04A0"/>
        <w:tblBorders>
          <w:left w:val="single" w:sz="24" w:space="0" w:color="2E75B6"/>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EAF1FB"/>
          </w:tcPr>
          <w:p>
            <w:pPr>
              <w:spacing w:after="40"/>
            </w:pPr>
            <w:r>
              <w:rPr>
                <w:b/>
                <w:color w:val="2E75B6"/>
                <w:sz w:val="20"/>
              </w:rPr>
              <w:t>Situação desta versão — versão 3, atualizada em 28/10/2026</w:t>
            </w:r>
          </w:p>
          <w:p>
            <w:pPr>
              <w:spacing w:after="40"/>
            </w:pPr>
            <w:r>
              <w:rPr>
                <w:sz w:val="19"/>
              </w:rPr>
              <w:t xml:space="preserve">Esta versão inclui a </w:t>
            </w:r>
            <w:r>
              <w:rPr>
                <w:b/>
                <w:sz w:val="19"/>
              </w:rPr>
              <w:t>compensação financeira das perdas de ICMS (LC 194/2022)</w:t>
            </w:r>
            <w:r>
              <w:rPr>
                <w:sz w:val="19"/>
              </w:rPr>
              <w:t xml:space="preserve"> para Municípios e Estados (seção 5). As versões anteriores ficam na pasta </w:t>
            </w:r>
            <w:r>
              <w:rPr>
                <w:rFonts w:ascii="Consolas" w:hAnsi="Consolas"/>
                <w:sz w:val="18"/>
              </w:rPr>
              <w:t>Regras de extração - Histórico</w:t>
            </w:r>
            <w:r>
              <w:rPr>
                <w:sz w:val="19"/>
              </w:rPr>
              <w:t xml:space="preserve"> (ver seção 7).</w:t>
            </w:r>
          </w:p>
          <w:p>
            <w:pPr>
              <w:spacing w:after="40"/>
            </w:pPr>
            <w:r>
              <w:rPr>
                <w:b/>
                <w:sz w:val="19"/>
              </w:rPr>
              <w:t>Os scripts e a base consolidada ainda não foram reprocessados</w:t>
            </w:r>
            <w:r>
              <w:rPr>
                <w:sz w:val="19"/>
              </w:rPr>
              <w:t xml:space="preserve"> com as versões 2 e 3: a planilha vigente segue a regra anterior até a próxima atualização.</w:t>
            </w:r>
          </w:p>
          <w:p>
            <w:pPr>
              <w:spacing w:after="40"/>
            </w:pPr>
            <w:r>
              <w:rPr>
                <w:sz w:val="19"/>
              </w:rPr>
              <w:t xml:space="preserve">Legenda da coluna </w:t>
            </w:r>
            <w:r>
              <w:rPr>
                <w:b/>
                <w:sz w:val="19"/>
              </w:rPr>
              <w:t>Alteração</w:t>
            </w:r>
            <w:r>
              <w:rPr>
                <w:sz w:val="19"/>
              </w:rPr>
              <w:t xml:space="preserve">: </w:t>
            </w:r>
            <w:r>
              <w:rPr>
                <w:b/>
                <w:sz w:val="19"/>
              </w:rPr>
              <w:t>nova</w:t>
            </w:r>
            <w:r>
              <w:rPr>
                <w:sz w:val="19"/>
              </w:rPr>
              <w:t xml:space="preserve"> = conta incluída nesta versão · </w:t>
            </w:r>
            <w:r>
              <w:rPr>
                <w:b/>
                <w:sz w:val="19"/>
              </w:rPr>
              <w:t>movida</w:t>
            </w:r>
            <w:r>
              <w:rPr>
                <w:sz w:val="19"/>
              </w:rPr>
              <w:t xml:space="preserve"> = conta trocada de métrica · </w:t>
            </w:r>
            <w:r>
              <w:rPr>
                <w:b/>
                <w:sz w:val="19"/>
              </w:rPr>
              <w:t>corrigida</w:t>
            </w:r>
            <w:r>
              <w:rPr>
                <w:sz w:val="19"/>
              </w:rPr>
              <w:t xml:space="preserve"> = descrição corrigida · </w:t>
            </w:r>
            <w:r>
              <w:rPr>
                <w:b/>
                <w:sz w:val="19"/>
              </w:rPr>
              <w:t>sem ocorrência</w:t>
            </w:r>
            <w:r>
              <w:rPr>
                <w:sz w:val="19"/>
              </w:rPr>
              <w:t xml:space="preserve"> = prevista pela estrutura, sem valores na base atual.</w:t>
            </w:r>
          </w:p>
        </w:tc>
      </w:tr>
    </w:tbl>
    <w:p>
      <w:pPr>
        <w:spacing w:after="40"/>
      </w:pPr>
    </w:p>
    <w:p>
      <w:pPr>
        <w:pStyle w:val="Heading1"/>
        <w:keepNext/>
      </w:pPr>
      <w:r>
        <w:t>1. Parâmetros gerais</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4680"/>
        <w:gridCol w:w="4680"/>
      </w:tblGrid>
      <w:tr>
        <w:trPr>
          <w:tblHeader w:val="true"/>
        </w:trPr>
        <w:tc>
          <w:tcPr>
            <w:tcW w:type="dxa" w:w="2088"/>
            <w:shd w:val="clear" w:color="auto" w:fill="1F3864"/>
            <w:vAlign w:val="center"/>
          </w:tcPr>
          <w:p>
            <w:pPr>
              <w:keepNext/>
              <w:spacing w:after="0"/>
            </w:pPr>
            <w:r>
              <w:rPr>
                <w:b/>
                <w:color w:val="FFFFFF"/>
                <w:sz w:val="18"/>
              </w:rPr>
              <w:t>Parâmetro</w:t>
            </w:r>
          </w:p>
        </w:tc>
        <w:tc>
          <w:tcPr>
            <w:tcW w:type="dxa" w:w="7272"/>
            <w:shd w:val="clear" w:color="auto" w:fill="1F3864"/>
            <w:vAlign w:val="center"/>
          </w:tcPr>
          <w:p>
            <w:pPr>
              <w:keepNext/>
              <w:spacing w:after="0"/>
            </w:pPr>
            <w:r>
              <w:rPr>
                <w:b/>
                <w:color w:val="FFFFFF"/>
                <w:sz w:val="18"/>
              </w:rPr>
              <w:t>Regra</w:t>
            </w:r>
          </w:p>
        </w:tc>
      </w:tr>
      <w:tr>
        <w:trPr>
          <w:cantSplit w:val="true"/>
        </w:trPr>
        <w:tc>
          <w:tcPr>
            <w:tcW w:type="dxa" w:w="2088"/>
            <w:vAlign w:val="center"/>
          </w:tcPr>
          <w:p>
            <w:pPr>
              <w:keepNext/>
              <w:spacing w:after="0" w:line="240" w:lineRule="auto"/>
            </w:pPr>
            <w:r>
              <w:rPr>
                <w:sz w:val="18"/>
              </w:rPr>
              <w:t>Fonte</w:t>
            </w:r>
          </w:p>
        </w:tc>
        <w:tc>
          <w:tcPr>
            <w:tcW w:type="dxa" w:w="7272"/>
            <w:vAlign w:val="center"/>
          </w:tcPr>
          <w:p>
            <w:pPr>
              <w:keepNext/>
              <w:spacing w:after="0" w:line="240" w:lineRule="auto"/>
            </w:pPr>
            <w:r>
              <w:rPr>
                <w:sz w:val="18"/>
              </w:rPr>
              <w:t>API de dados abertos do SIOPE (FNDE) — quadro de receitas.</w:t>
            </w:r>
          </w:p>
        </w:tc>
      </w:tr>
      <w:tr>
        <w:trPr>
          <w:cantSplit w:val="true"/>
        </w:trPr>
        <w:tc>
          <w:tcPr>
            <w:tcW w:type="dxa" w:w="2088"/>
            <w:vAlign w:val="center"/>
            <w:shd w:val="clear" w:color="auto" w:fill="F3F6FA"/>
          </w:tcPr>
          <w:p>
            <w:pPr>
              <w:keepNext/>
              <w:spacing w:after="0" w:line="240" w:lineRule="auto"/>
            </w:pPr>
            <w:r>
              <w:rPr>
                <w:sz w:val="18"/>
              </w:rPr>
              <w:t>Período</w:t>
            </w:r>
          </w:p>
        </w:tc>
        <w:tc>
          <w:tcPr>
            <w:tcW w:type="dxa" w:w="7272"/>
            <w:vAlign w:val="center"/>
            <w:shd w:val="clear" w:color="auto" w:fill="F3F6FA"/>
          </w:tcPr>
          <w:p>
            <w:pPr>
              <w:keepNext/>
              <w:spacing w:after="0" w:line="240" w:lineRule="auto"/>
            </w:pPr>
            <w:r>
              <w:rPr>
                <w:sz w:val="18"/>
              </w:rPr>
              <w:t xml:space="preserve">Apenas o </w:t>
            </w:r>
            <w:r>
              <w:rPr>
                <w:b/>
                <w:sz w:val="18"/>
              </w:rPr>
              <w:t>período 6</w:t>
            </w:r>
            <w:r>
              <w:rPr>
                <w:sz w:val="18"/>
              </w:rPr>
              <w:t xml:space="preserve"> (bimestre 6 = valores anuais acumulados).</w:t>
            </w:r>
          </w:p>
        </w:tc>
      </w:tr>
      <w:tr>
        <w:trPr>
          <w:cantSplit w:val="true"/>
        </w:trPr>
        <w:tc>
          <w:tcPr>
            <w:tcW w:type="dxa" w:w="2088"/>
            <w:vAlign w:val="center"/>
          </w:tcPr>
          <w:p>
            <w:pPr>
              <w:keepNext/>
              <w:spacing w:after="0" w:line="240" w:lineRule="auto"/>
            </w:pPr>
            <w:r>
              <w:rPr>
                <w:sz w:val="18"/>
              </w:rPr>
              <w:t>Anos</w:t>
            </w:r>
          </w:p>
        </w:tc>
        <w:tc>
          <w:tcPr>
            <w:tcW w:type="dxa" w:w="7272"/>
            <w:vAlign w:val="center"/>
          </w:tcPr>
          <w:p>
            <w:pPr>
              <w:keepNext/>
              <w:spacing w:after="0" w:line="240" w:lineRule="auto"/>
            </w:pPr>
            <w:r>
              <w:rPr>
                <w:b/>
                <w:sz w:val="18"/>
              </w:rPr>
              <w:t>2019 a 2025.</w:t>
            </w:r>
          </w:p>
        </w:tc>
      </w:tr>
      <w:tr>
        <w:trPr>
          <w:cantSplit w:val="true"/>
        </w:trPr>
        <w:tc>
          <w:tcPr>
            <w:tcW w:type="dxa" w:w="2088"/>
            <w:vAlign w:val="center"/>
            <w:shd w:val="clear" w:color="auto" w:fill="F3F6FA"/>
          </w:tcPr>
          <w:p>
            <w:pPr>
              <w:keepNext/>
              <w:spacing w:after="0" w:line="240" w:lineRule="auto"/>
            </w:pPr>
            <w:r>
              <w:rPr>
                <w:sz w:val="18"/>
              </w:rPr>
              <w:t>Entes e receitas</w:t>
            </w:r>
          </w:p>
        </w:tc>
        <w:tc>
          <w:tcPr>
            <w:tcW w:type="dxa" w:w="7272"/>
            <w:vAlign w:val="center"/>
            <w:shd w:val="clear" w:color="auto" w:fill="F3F6FA"/>
          </w:tcPr>
          <w:p>
            <w:pPr>
              <w:keepNext/>
              <w:spacing w:after="0" w:line="240" w:lineRule="auto"/>
            </w:pPr>
            <w:r>
              <w:rPr>
                <w:b/>
                <w:sz w:val="18"/>
              </w:rPr>
              <w:t>Municípios:</w:t>
            </w:r>
            <w:r>
              <w:rPr>
                <w:sz w:val="18"/>
              </w:rPr>
              <w:t xml:space="preserve"> ISS, Cota-Parte do ICMS e Compensação de ICMS. </w:t>
            </w:r>
            <w:r>
              <w:rPr>
                <w:b/>
                <w:sz w:val="18"/>
              </w:rPr>
              <w:t>Estados:</w:t>
            </w:r>
            <w:r>
              <w:rPr>
                <w:sz w:val="18"/>
              </w:rPr>
              <w:t xml:space="preserve"> ICMS e Compensação de ICMS. O </w:t>
            </w:r>
            <w:r>
              <w:rPr>
                <w:b/>
                <w:sz w:val="18"/>
              </w:rPr>
              <w:t>DF</w:t>
            </w:r>
            <w:r>
              <w:rPr>
                <w:sz w:val="18"/>
              </w:rPr>
              <w:t xml:space="preserve"> aparece nos dois grupos (seção 2.4).</w:t>
            </w:r>
          </w:p>
        </w:tc>
      </w:tr>
      <w:tr>
        <w:trPr>
          <w:cantSplit w:val="true"/>
        </w:trPr>
        <w:tc>
          <w:tcPr>
            <w:tcW w:type="dxa" w:w="2088"/>
            <w:vAlign w:val="center"/>
          </w:tcPr>
          <w:p>
            <w:pPr>
              <w:keepNext/>
              <w:spacing w:after="0" w:line="240" w:lineRule="auto"/>
            </w:pPr>
            <w:r>
              <w:rPr>
                <w:sz w:val="18"/>
              </w:rPr>
              <w:t>Valor de cada conta</w:t>
            </w:r>
          </w:p>
        </w:tc>
        <w:tc>
          <w:tcPr>
            <w:tcW w:type="dxa" w:w="7272"/>
            <w:vAlign w:val="center"/>
          </w:tcPr>
          <w:p>
            <w:pPr>
              <w:keepNext/>
              <w:spacing w:after="0" w:line="240" w:lineRule="auto"/>
            </w:pPr>
            <w:r>
              <w:rPr>
                <w:rFonts w:ascii="Consolas" w:hAnsi="Consolas"/>
                <w:sz w:val="17"/>
              </w:rPr>
              <w:t>|vlr_receita_realizada| − |vlr_outras_deducoes|</w:t>
            </w:r>
            <w:r>
              <w:rPr>
                <w:sz w:val="18"/>
              </w:rPr>
              <w:t xml:space="preserve"> (valores absolutos). Exceções: dedução em conta própria em 2019–2020 (seções 2.1 e 4.2) e limiar de 10% no ICMS dos Estados e na Compensação de ICMS (seções 4.1 e 5.4).</w:t>
            </w:r>
          </w:p>
        </w:tc>
      </w:tr>
      <w:tr>
        <w:trPr>
          <w:cantSplit w:val="true"/>
        </w:trPr>
        <w:tc>
          <w:tcPr>
            <w:tcW w:type="dxa" w:w="2088"/>
            <w:vAlign w:val="center"/>
            <w:shd w:val="clear" w:color="auto" w:fill="F3F6FA"/>
          </w:tcPr>
          <w:p>
            <w:pPr>
              <w:keepNext/>
              <w:spacing w:after="0" w:line="240" w:lineRule="auto"/>
            </w:pPr>
            <w:r>
              <w:rPr>
                <w:sz w:val="18"/>
              </w:rPr>
              <w:t>Total da receita</w:t>
            </w:r>
          </w:p>
        </w:tc>
        <w:tc>
          <w:tcPr>
            <w:tcW w:type="dxa" w:w="7272"/>
            <w:vAlign w:val="center"/>
            <w:shd w:val="clear" w:color="auto" w:fill="F3F6FA"/>
          </w:tcPr>
          <w:p>
            <w:pPr>
              <w:keepNext/>
              <w:spacing w:after="0" w:line="240" w:lineRule="auto"/>
            </w:pPr>
            <w:r>
              <w:rPr>
                <w:sz w:val="18"/>
              </w:rPr>
              <w:t xml:space="preserve">A </w:t>
            </w:r>
            <w:r>
              <w:rPr>
                <w:b/>
                <w:sz w:val="18"/>
              </w:rPr>
              <w:t>Métrica 1</w:t>
            </w:r>
            <w:r>
              <w:rPr>
                <w:sz w:val="18"/>
              </w:rPr>
              <w:t xml:space="preserve"> (ISS ou ICMS) é sempre a soma das demais métricas da mesma receita.</w:t>
            </w:r>
          </w:p>
        </w:tc>
      </w:tr>
      <w:tr>
        <w:trPr>
          <w:cantSplit w:val="true"/>
        </w:trPr>
        <w:tc>
          <w:tcPr>
            <w:tcW w:type="dxa" w:w="2088"/>
            <w:vAlign w:val="center"/>
          </w:tcPr>
          <w:p>
            <w:pPr>
              <w:spacing w:after="0" w:line="240" w:lineRule="auto"/>
            </w:pPr>
            <w:r>
              <w:rPr>
                <w:sz w:val="18"/>
              </w:rPr>
              <w:t>FUNDEB</w:t>
            </w:r>
          </w:p>
        </w:tc>
        <w:tc>
          <w:tcPr>
            <w:tcW w:type="dxa" w:w="7272"/>
            <w:vAlign w:val="center"/>
          </w:tcPr>
          <w:p>
            <w:pPr>
              <w:spacing w:after="0" w:line="240" w:lineRule="auto"/>
            </w:pPr>
            <w:r>
              <w:rPr>
                <w:sz w:val="18"/>
              </w:rPr>
              <w:t>A dedução para formação do FUNDEB (</w:t>
            </w:r>
            <w:r>
              <w:rPr>
                <w:rFonts w:ascii="Consolas" w:hAnsi="Consolas"/>
                <w:sz w:val="17"/>
              </w:rPr>
              <w:t>vlr_deducao_fundeb</w:t>
            </w:r>
            <w:r>
              <w:rPr>
                <w:sz w:val="18"/>
              </w:rPr>
              <w:t xml:space="preserve">; em 2019–2020, contas próprias 4972…/4911302…) </w:t>
            </w:r>
            <w:r>
              <w:rPr>
                <w:b/>
                <w:sz w:val="18"/>
              </w:rPr>
              <w:t>não é descontada</w:t>
            </w:r>
            <w:r>
              <w:rPr>
                <w:sz w:val="18"/>
              </w:rPr>
              <w:t xml:space="preserve"> em nenhuma receita.</w:t>
            </w:r>
          </w:p>
        </w:tc>
      </w:tr>
    </w:tbl>
    <w:p>
      <w:pPr>
        <w:spacing w:after="40"/>
      </w:pPr>
    </w:p>
    <w:p>
      <w:pPr>
        <w:pStyle w:val="Heading2"/>
      </w:pPr>
      <w:r>
        <w:t>1.1 Estrutura de contas por período</w:t>
      </w:r>
    </w:p>
    <w:p>
      <w:pPr>
        <w:keepNext/>
      </w:pPr>
      <w:r>
        <w:t>O plano de contas do SIOPE mudou ao longo do período, por isso cada receita tem um mapeamento por faixa de anos:</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3120"/>
        <w:gridCol w:w="3120"/>
        <w:gridCol w:w="3120"/>
      </w:tblGrid>
      <w:tr>
        <w:trPr>
          <w:tblHeader w:val="true"/>
        </w:trPr>
        <w:tc>
          <w:tcPr>
            <w:tcW w:type="dxa" w:w="1440"/>
            <w:shd w:val="clear" w:color="auto" w:fill="1F3864"/>
            <w:vAlign w:val="center"/>
          </w:tcPr>
          <w:p>
            <w:pPr>
              <w:keepNext/>
              <w:spacing w:after="0"/>
            </w:pPr>
            <w:r>
              <w:rPr>
                <w:b/>
                <w:color w:val="FFFFFF"/>
                <w:sz w:val="18"/>
              </w:rPr>
              <w:t>Faixa</w:t>
            </w:r>
          </w:p>
        </w:tc>
        <w:tc>
          <w:tcPr>
            <w:tcW w:type="dxa" w:w="6048"/>
            <w:shd w:val="clear" w:color="auto" w:fill="1F3864"/>
            <w:vAlign w:val="center"/>
          </w:tcPr>
          <w:p>
            <w:pPr>
              <w:keepNext/>
              <w:spacing w:after="0"/>
            </w:pPr>
            <w:r>
              <w:rPr>
                <w:b/>
                <w:color w:val="FFFFFF"/>
                <w:sz w:val="18"/>
              </w:rPr>
              <w:t>Estrutura</w:t>
            </w:r>
          </w:p>
        </w:tc>
        <w:tc>
          <w:tcPr>
            <w:tcW w:type="dxa" w:w="1872"/>
            <w:shd w:val="clear" w:color="auto" w:fill="1F3864"/>
            <w:vAlign w:val="center"/>
          </w:tcPr>
          <w:p>
            <w:pPr>
              <w:keepNext/>
              <w:spacing w:after="0"/>
            </w:pPr>
            <w:r>
              <w:rPr>
                <w:b/>
                <w:color w:val="FFFFFF"/>
                <w:sz w:val="18"/>
              </w:rPr>
              <w:t>Exemplo (ISS Principal)</w:t>
            </w:r>
          </w:p>
        </w:tc>
      </w:tr>
      <w:tr>
        <w:trPr>
          <w:cantSplit w:val="true"/>
        </w:trPr>
        <w:tc>
          <w:tcPr>
            <w:tcW w:type="dxa" w:w="1440"/>
            <w:vAlign w:val="center"/>
          </w:tcPr>
          <w:p>
            <w:pPr>
              <w:keepNext/>
              <w:spacing w:after="0" w:line="240" w:lineRule="auto"/>
            </w:pPr>
            <w:r>
              <w:rPr>
                <w:sz w:val="18"/>
              </w:rPr>
              <w:t>2019–2020</w:t>
            </w:r>
          </w:p>
        </w:tc>
        <w:tc>
          <w:tcPr>
            <w:tcW w:type="dxa" w:w="6048"/>
            <w:vAlign w:val="center"/>
          </w:tcPr>
          <w:p>
            <w:pPr>
              <w:keepNext/>
              <w:spacing w:after="0" w:line="240" w:lineRule="auto"/>
            </w:pPr>
            <w:r>
              <w:rPr>
                <w:sz w:val="18"/>
              </w:rPr>
              <w:t xml:space="preserve">Plano antigo — códigos de </w:t>
            </w:r>
            <w:r>
              <w:rPr>
                <w:b/>
                <w:sz w:val="18"/>
              </w:rPr>
              <w:t>11 dígitos</w:t>
            </w:r>
            <w:r>
              <w:rPr>
                <w:sz w:val="18"/>
              </w:rPr>
              <w:t>. Multas e Dívida Ativa ficam em famílias separadas (4191…, 4193…). Deduções ficam em contas próprias (49…).</w:t>
            </w:r>
          </w:p>
        </w:tc>
        <w:tc>
          <w:tcPr>
            <w:tcW w:type="dxa" w:w="1872"/>
            <w:vAlign w:val="center"/>
          </w:tcPr>
          <w:p>
            <w:pPr>
              <w:keepNext/>
              <w:spacing w:after="0" w:line="240" w:lineRule="auto"/>
            </w:pPr>
            <w:r>
              <w:rPr>
                <w:rFonts w:ascii="Consolas" w:hAnsi="Consolas"/>
                <w:sz w:val="17"/>
              </w:rPr>
              <w:t>41113050100</w:t>
            </w:r>
          </w:p>
        </w:tc>
      </w:tr>
      <w:tr>
        <w:trPr>
          <w:cantSplit w:val="true"/>
        </w:trPr>
        <w:tc>
          <w:tcPr>
            <w:tcW w:type="dxa" w:w="1440"/>
            <w:vAlign w:val="center"/>
            <w:shd w:val="clear" w:color="auto" w:fill="F3F6FA"/>
          </w:tcPr>
          <w:p>
            <w:pPr>
              <w:keepNext/>
              <w:spacing w:after="0" w:line="240" w:lineRule="auto"/>
            </w:pPr>
            <w:r>
              <w:rPr>
                <w:sz w:val="18"/>
              </w:rPr>
              <w:t>2021–2022</w:t>
            </w:r>
          </w:p>
        </w:tc>
        <w:tc>
          <w:tcPr>
            <w:tcW w:type="dxa" w:w="6048"/>
            <w:vAlign w:val="center"/>
            <w:shd w:val="clear" w:color="auto" w:fill="F3F6FA"/>
          </w:tcPr>
          <w:p>
            <w:pPr>
              <w:keepNext/>
              <w:spacing w:after="0" w:line="240" w:lineRule="auto"/>
            </w:pPr>
            <w:r>
              <w:rPr>
                <w:sz w:val="18"/>
              </w:rPr>
              <w:t xml:space="preserve">Plano novo — códigos de </w:t>
            </w:r>
            <w:r>
              <w:rPr>
                <w:b/>
                <w:sz w:val="18"/>
              </w:rPr>
              <w:t>8 dígitos</w:t>
            </w:r>
            <w:r>
              <w:rPr>
                <w:sz w:val="18"/>
              </w:rPr>
              <w:t>, famílias 1118… e 1728….</w:t>
            </w:r>
          </w:p>
        </w:tc>
        <w:tc>
          <w:tcPr>
            <w:tcW w:type="dxa" w:w="1872"/>
            <w:vAlign w:val="center"/>
            <w:shd w:val="clear" w:color="auto" w:fill="F3F6FA"/>
          </w:tcPr>
          <w:p>
            <w:pPr>
              <w:keepNext/>
              <w:spacing w:after="0" w:line="240" w:lineRule="auto"/>
            </w:pPr>
            <w:r>
              <w:rPr>
                <w:rFonts w:ascii="Consolas" w:hAnsi="Consolas"/>
                <w:sz w:val="17"/>
              </w:rPr>
              <w:t>11180231</w:t>
            </w:r>
          </w:p>
        </w:tc>
      </w:tr>
      <w:tr>
        <w:trPr>
          <w:cantSplit w:val="true"/>
        </w:trPr>
        <w:tc>
          <w:tcPr>
            <w:tcW w:type="dxa" w:w="1440"/>
            <w:vAlign w:val="center"/>
          </w:tcPr>
          <w:p>
            <w:pPr>
              <w:spacing w:after="0" w:line="240" w:lineRule="auto"/>
            </w:pPr>
            <w:r>
              <w:rPr>
                <w:sz w:val="18"/>
              </w:rPr>
              <w:t>2023–2025</w:t>
            </w:r>
          </w:p>
        </w:tc>
        <w:tc>
          <w:tcPr>
            <w:tcW w:type="dxa" w:w="6048"/>
            <w:vAlign w:val="center"/>
          </w:tcPr>
          <w:p>
            <w:pPr>
              <w:spacing w:after="0" w:line="240" w:lineRule="auto"/>
            </w:pPr>
            <w:r>
              <w:rPr>
                <w:sz w:val="18"/>
              </w:rPr>
              <w:t xml:space="preserve">Plano novo — códigos de </w:t>
            </w:r>
            <w:r>
              <w:rPr>
                <w:b/>
                <w:sz w:val="18"/>
              </w:rPr>
              <w:t>8 dígitos</w:t>
            </w:r>
            <w:r>
              <w:rPr>
                <w:sz w:val="18"/>
              </w:rPr>
              <w:t>, famílias 1114… e 1721….</w:t>
            </w:r>
          </w:p>
        </w:tc>
        <w:tc>
          <w:tcPr>
            <w:tcW w:type="dxa" w:w="1872"/>
            <w:vAlign w:val="center"/>
          </w:tcPr>
          <w:p>
            <w:pPr>
              <w:spacing w:after="0" w:line="240" w:lineRule="auto"/>
            </w:pPr>
            <w:r>
              <w:rPr>
                <w:rFonts w:ascii="Consolas" w:hAnsi="Consolas"/>
                <w:sz w:val="17"/>
              </w:rPr>
              <w:t>11145111</w:t>
            </w:r>
          </w:p>
        </w:tc>
      </w:tr>
    </w:tbl>
    <w:p>
      <w:pPr>
        <w:spacing w:after="40"/>
      </w:pPr>
    </w:p>
    <w:p>
      <w:pPr>
        <w:pStyle w:val="Heading2"/>
      </w:pPr>
      <w:r>
        <w:t>1.2 Como ler os códigos de 8 dígitos (2021 em diante)</w:t>
      </w:r>
    </w:p>
    <w:p>
      <w:pPr>
        <w:keepNext/>
      </w:pPr>
      <w:r>
        <w:t xml:space="preserve">O </w:t>
      </w:r>
      <w:r>
        <w:rPr>
          <w:b/>
        </w:rPr>
        <w:t>último dígito</w:t>
      </w:r>
      <w:r>
        <w:t xml:space="preserve"> indica o tipo do desdobramento. O padrão foi conferido em 79 famílias de contas da base de 25/09/2026, sem nenhuma divergência (algumas descrições vêm truncadas pelo próprio SIOPE):</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3120"/>
        <w:gridCol w:w="3120"/>
        <w:gridCol w:w="3120"/>
      </w:tblGrid>
      <w:tr>
        <w:trPr>
          <w:tblHeader w:val="true"/>
        </w:trPr>
        <w:tc>
          <w:tcPr>
            <w:tcW w:type="dxa" w:w="1584"/>
            <w:shd w:val="clear" w:color="auto" w:fill="1F3864"/>
            <w:vAlign w:val="center"/>
          </w:tcPr>
          <w:p>
            <w:pPr>
              <w:keepNext/>
              <w:spacing w:after="0"/>
            </w:pPr>
            <w:r>
              <w:rPr>
                <w:b/>
                <w:color w:val="FFFFFF"/>
                <w:sz w:val="18"/>
              </w:rPr>
              <w:t>Último dígito</w:t>
            </w:r>
          </w:p>
        </w:tc>
        <w:tc>
          <w:tcPr>
            <w:tcW w:type="dxa" w:w="5904"/>
            <w:shd w:val="clear" w:color="auto" w:fill="1F3864"/>
            <w:vAlign w:val="center"/>
          </w:tcPr>
          <w:p>
            <w:pPr>
              <w:keepNext/>
              <w:spacing w:after="0"/>
            </w:pPr>
            <w:r>
              <w:rPr>
                <w:b/>
                <w:color w:val="FFFFFF"/>
                <w:sz w:val="18"/>
              </w:rPr>
              <w:t>Significado</w:t>
            </w:r>
          </w:p>
        </w:tc>
        <w:tc>
          <w:tcPr>
            <w:tcW w:type="dxa" w:w="1872"/>
            <w:shd w:val="clear" w:color="auto" w:fill="1F3864"/>
            <w:vAlign w:val="center"/>
          </w:tcPr>
          <w:p>
            <w:pPr>
              <w:keepNext/>
              <w:spacing w:after="0"/>
            </w:pPr>
            <w:r>
              <w:rPr>
                <w:b/>
                <w:color w:val="FFFFFF"/>
                <w:sz w:val="18"/>
              </w:rPr>
              <w:t>Forma</w:t>
            </w:r>
          </w:p>
        </w:tc>
      </w:tr>
      <w:tr>
        <w:trPr>
          <w:cantSplit w:val="true"/>
        </w:trPr>
        <w:tc>
          <w:tcPr>
            <w:tcW w:type="dxa" w:w="1584"/>
            <w:vAlign w:val="center"/>
          </w:tcPr>
          <w:p>
            <w:pPr>
              <w:keepNext/>
              <w:spacing w:after="0" w:line="240" w:lineRule="auto"/>
            </w:pPr>
            <w:r>
              <w:rPr>
                <w:rFonts w:ascii="Consolas" w:hAnsi="Consolas"/>
                <w:sz w:val="18"/>
              </w:rPr>
              <w:t>0</w:t>
            </w:r>
          </w:p>
        </w:tc>
        <w:tc>
          <w:tcPr>
            <w:tcW w:type="dxa" w:w="5904"/>
            <w:vAlign w:val="center"/>
          </w:tcPr>
          <w:p>
            <w:pPr>
              <w:keepNext/>
              <w:spacing w:after="0" w:line="240" w:lineRule="auto"/>
            </w:pPr>
            <w:r>
              <w:rPr>
                <w:sz w:val="18"/>
              </w:rPr>
              <w:t>Conta agregadora (soma de todos os desdobramentos)</w:t>
            </w:r>
          </w:p>
        </w:tc>
        <w:tc>
          <w:tcPr>
            <w:tcW w:type="dxa" w:w="1872"/>
            <w:vAlign w:val="center"/>
          </w:tcPr>
          <w:p>
            <w:pPr>
              <w:keepNext/>
              <w:spacing w:after="0" w:line="240" w:lineRule="auto"/>
            </w:pPr>
            <w:r>
              <w:rPr>
                <w:sz w:val="18"/>
              </w:rPr>
              <w:t>—</w:t>
            </w:r>
          </w:p>
        </w:tc>
      </w:tr>
      <w:tr>
        <w:trPr>
          <w:cantSplit w:val="true"/>
        </w:trPr>
        <w:tc>
          <w:tcPr>
            <w:tcW w:type="dxa" w:w="1584"/>
            <w:vAlign w:val="center"/>
            <w:shd w:val="clear" w:color="auto" w:fill="F3F6FA"/>
          </w:tcPr>
          <w:p>
            <w:pPr>
              <w:keepNext/>
              <w:spacing w:after="0" w:line="240" w:lineRule="auto"/>
            </w:pPr>
            <w:r>
              <w:rPr>
                <w:rFonts w:ascii="Consolas" w:hAnsi="Consolas"/>
                <w:sz w:val="18"/>
              </w:rPr>
              <w:t>1</w:t>
            </w:r>
          </w:p>
        </w:tc>
        <w:tc>
          <w:tcPr>
            <w:tcW w:type="dxa" w:w="5904"/>
            <w:vAlign w:val="center"/>
            <w:shd w:val="clear" w:color="auto" w:fill="F3F6FA"/>
          </w:tcPr>
          <w:p>
            <w:pPr>
              <w:keepNext/>
              <w:spacing w:after="0" w:line="240" w:lineRule="auto"/>
            </w:pPr>
            <w:r>
              <w:rPr>
                <w:sz w:val="18"/>
              </w:rPr>
              <w:t>Principal</w:t>
            </w:r>
          </w:p>
        </w:tc>
        <w:tc>
          <w:tcPr>
            <w:tcW w:type="dxa" w:w="1872"/>
            <w:vAlign w:val="center"/>
            <w:shd w:val="clear" w:color="auto" w:fill="F3F6FA"/>
          </w:tcPr>
          <w:p>
            <w:pPr>
              <w:keepNext/>
              <w:spacing w:after="0" w:line="240" w:lineRule="auto"/>
            </w:pPr>
            <w:r>
              <w:rPr>
                <w:sz w:val="18"/>
              </w:rPr>
              <w:t>—</w:t>
            </w:r>
          </w:p>
        </w:tc>
      </w:tr>
      <w:tr>
        <w:trPr>
          <w:cantSplit w:val="true"/>
        </w:trPr>
        <w:tc>
          <w:tcPr>
            <w:tcW w:type="dxa" w:w="1584"/>
            <w:vAlign w:val="center"/>
          </w:tcPr>
          <w:p>
            <w:pPr>
              <w:keepNext/>
              <w:spacing w:after="0" w:line="240" w:lineRule="auto"/>
            </w:pPr>
            <w:r>
              <w:rPr>
                <w:rFonts w:ascii="Consolas" w:hAnsi="Consolas"/>
                <w:sz w:val="18"/>
              </w:rPr>
              <w:t>2</w:t>
            </w:r>
          </w:p>
        </w:tc>
        <w:tc>
          <w:tcPr>
            <w:tcW w:type="dxa" w:w="5904"/>
            <w:vAlign w:val="center"/>
          </w:tcPr>
          <w:p>
            <w:pPr>
              <w:keepNext/>
              <w:spacing w:after="0" w:line="240" w:lineRule="auto"/>
            </w:pPr>
            <w:r>
              <w:rPr>
                <w:sz w:val="18"/>
              </w:rPr>
              <w:t>Multas e Juros de Mora</w:t>
            </w:r>
          </w:p>
        </w:tc>
        <w:tc>
          <w:tcPr>
            <w:tcW w:type="dxa" w:w="1872"/>
            <w:vAlign w:val="center"/>
          </w:tcPr>
          <w:p>
            <w:pPr>
              <w:keepNext/>
              <w:spacing w:after="0" w:line="240" w:lineRule="auto"/>
            </w:pPr>
            <w:r>
              <w:rPr>
                <w:sz w:val="18"/>
              </w:rPr>
              <w:t>agrupada</w:t>
            </w:r>
          </w:p>
        </w:tc>
      </w:tr>
      <w:tr>
        <w:trPr>
          <w:cantSplit w:val="true"/>
        </w:trPr>
        <w:tc>
          <w:tcPr>
            <w:tcW w:type="dxa" w:w="1584"/>
            <w:vAlign w:val="center"/>
            <w:shd w:val="clear" w:color="auto" w:fill="F3F6FA"/>
          </w:tcPr>
          <w:p>
            <w:pPr>
              <w:keepNext/>
              <w:spacing w:after="0" w:line="240" w:lineRule="auto"/>
            </w:pPr>
            <w:r>
              <w:rPr>
                <w:rFonts w:ascii="Consolas" w:hAnsi="Consolas"/>
                <w:sz w:val="18"/>
              </w:rPr>
              <w:t>3</w:t>
            </w:r>
          </w:p>
        </w:tc>
        <w:tc>
          <w:tcPr>
            <w:tcW w:type="dxa" w:w="5904"/>
            <w:vAlign w:val="center"/>
            <w:shd w:val="clear" w:color="auto" w:fill="F3F6FA"/>
          </w:tcPr>
          <w:p>
            <w:pPr>
              <w:keepNext/>
              <w:spacing w:after="0" w:line="240" w:lineRule="auto"/>
            </w:pPr>
            <w:r>
              <w:rPr>
                <w:sz w:val="18"/>
              </w:rPr>
              <w:t>Dívida Ativa</w:t>
            </w:r>
          </w:p>
        </w:tc>
        <w:tc>
          <w:tcPr>
            <w:tcW w:type="dxa" w:w="1872"/>
            <w:vAlign w:val="center"/>
            <w:shd w:val="clear" w:color="auto" w:fill="F3F6FA"/>
          </w:tcPr>
          <w:p>
            <w:pPr>
              <w:keepNext/>
              <w:spacing w:after="0" w:line="240" w:lineRule="auto"/>
            </w:pPr>
            <w:r>
              <w:rPr>
                <w:sz w:val="18"/>
              </w:rPr>
              <w:t>—</w:t>
            </w:r>
          </w:p>
        </w:tc>
      </w:tr>
      <w:tr>
        <w:trPr>
          <w:cantSplit w:val="true"/>
        </w:trPr>
        <w:tc>
          <w:tcPr>
            <w:tcW w:type="dxa" w:w="1584"/>
            <w:vAlign w:val="center"/>
          </w:tcPr>
          <w:p>
            <w:pPr>
              <w:keepNext/>
              <w:spacing w:after="0" w:line="240" w:lineRule="auto"/>
            </w:pPr>
            <w:r>
              <w:rPr>
                <w:rFonts w:ascii="Consolas" w:hAnsi="Consolas"/>
                <w:sz w:val="18"/>
              </w:rPr>
              <w:t>4</w:t>
            </w:r>
          </w:p>
        </w:tc>
        <w:tc>
          <w:tcPr>
            <w:tcW w:type="dxa" w:w="5904"/>
            <w:vAlign w:val="center"/>
          </w:tcPr>
          <w:p>
            <w:pPr>
              <w:keepNext/>
              <w:spacing w:after="0" w:line="240" w:lineRule="auto"/>
            </w:pPr>
            <w:r>
              <w:rPr>
                <w:sz w:val="18"/>
              </w:rPr>
              <w:t>Multas e Juros de Mora da Dívida Ativa</w:t>
            </w:r>
          </w:p>
        </w:tc>
        <w:tc>
          <w:tcPr>
            <w:tcW w:type="dxa" w:w="1872"/>
            <w:vAlign w:val="center"/>
          </w:tcPr>
          <w:p>
            <w:pPr>
              <w:keepNext/>
              <w:spacing w:after="0" w:line="240" w:lineRule="auto"/>
            </w:pPr>
            <w:r>
              <w:rPr>
                <w:sz w:val="18"/>
              </w:rPr>
              <w:t>agrupada</w:t>
            </w:r>
          </w:p>
        </w:tc>
      </w:tr>
      <w:tr>
        <w:trPr>
          <w:cantSplit w:val="true"/>
        </w:trPr>
        <w:tc>
          <w:tcPr>
            <w:tcW w:type="dxa" w:w="1584"/>
            <w:vAlign w:val="center"/>
            <w:shd w:val="clear" w:color="auto" w:fill="F3F6FA"/>
          </w:tcPr>
          <w:p>
            <w:pPr>
              <w:keepNext/>
              <w:spacing w:after="0" w:line="240" w:lineRule="auto"/>
            </w:pPr>
            <w:r>
              <w:rPr>
                <w:rFonts w:ascii="Consolas" w:hAnsi="Consolas"/>
                <w:sz w:val="18"/>
              </w:rPr>
              <w:t>5</w:t>
            </w:r>
          </w:p>
        </w:tc>
        <w:tc>
          <w:tcPr>
            <w:tcW w:type="dxa" w:w="5904"/>
            <w:vAlign w:val="center"/>
            <w:shd w:val="clear" w:color="auto" w:fill="F3F6FA"/>
          </w:tcPr>
          <w:p>
            <w:pPr>
              <w:keepNext/>
              <w:spacing w:after="0" w:line="240" w:lineRule="auto"/>
            </w:pPr>
            <w:r>
              <w:rPr>
                <w:sz w:val="18"/>
              </w:rPr>
              <w:t>Multas</w:t>
            </w:r>
          </w:p>
        </w:tc>
        <w:tc>
          <w:tcPr>
            <w:tcW w:type="dxa" w:w="1872"/>
            <w:vAlign w:val="center"/>
            <w:shd w:val="clear" w:color="auto" w:fill="F3F6FA"/>
          </w:tcPr>
          <w:p>
            <w:pPr>
              <w:keepNext/>
              <w:spacing w:after="0" w:line="240" w:lineRule="auto"/>
            </w:pPr>
            <w:r>
              <w:rPr>
                <w:sz w:val="18"/>
              </w:rPr>
              <w:t>separada</w:t>
            </w:r>
          </w:p>
        </w:tc>
      </w:tr>
      <w:tr>
        <w:trPr>
          <w:cantSplit w:val="true"/>
        </w:trPr>
        <w:tc>
          <w:tcPr>
            <w:tcW w:type="dxa" w:w="1584"/>
            <w:vAlign w:val="center"/>
          </w:tcPr>
          <w:p>
            <w:pPr>
              <w:keepNext/>
              <w:spacing w:after="0" w:line="240" w:lineRule="auto"/>
            </w:pPr>
            <w:r>
              <w:rPr>
                <w:rFonts w:ascii="Consolas" w:hAnsi="Consolas"/>
                <w:sz w:val="18"/>
              </w:rPr>
              <w:t>6</w:t>
            </w:r>
          </w:p>
        </w:tc>
        <w:tc>
          <w:tcPr>
            <w:tcW w:type="dxa" w:w="5904"/>
            <w:vAlign w:val="center"/>
          </w:tcPr>
          <w:p>
            <w:pPr>
              <w:keepNext/>
              <w:spacing w:after="0" w:line="240" w:lineRule="auto"/>
            </w:pPr>
            <w:r>
              <w:rPr>
                <w:sz w:val="18"/>
              </w:rPr>
              <w:t>Juros de Mora</w:t>
            </w:r>
          </w:p>
        </w:tc>
        <w:tc>
          <w:tcPr>
            <w:tcW w:type="dxa" w:w="1872"/>
            <w:vAlign w:val="center"/>
          </w:tcPr>
          <w:p>
            <w:pPr>
              <w:keepNext/>
              <w:spacing w:after="0" w:line="240" w:lineRule="auto"/>
            </w:pPr>
            <w:r>
              <w:rPr>
                <w:sz w:val="18"/>
              </w:rPr>
              <w:t>separada</w:t>
            </w:r>
          </w:p>
        </w:tc>
      </w:tr>
      <w:tr>
        <w:trPr>
          <w:cantSplit w:val="true"/>
        </w:trPr>
        <w:tc>
          <w:tcPr>
            <w:tcW w:type="dxa" w:w="1584"/>
            <w:vAlign w:val="center"/>
            <w:shd w:val="clear" w:color="auto" w:fill="F3F6FA"/>
          </w:tcPr>
          <w:p>
            <w:pPr>
              <w:keepNext/>
              <w:spacing w:after="0" w:line="240" w:lineRule="auto"/>
            </w:pPr>
            <w:r>
              <w:rPr>
                <w:rFonts w:ascii="Consolas" w:hAnsi="Consolas"/>
                <w:sz w:val="18"/>
              </w:rPr>
              <w:t>7</w:t>
            </w:r>
          </w:p>
        </w:tc>
        <w:tc>
          <w:tcPr>
            <w:tcW w:type="dxa" w:w="5904"/>
            <w:vAlign w:val="center"/>
            <w:shd w:val="clear" w:color="auto" w:fill="F3F6FA"/>
          </w:tcPr>
          <w:p>
            <w:pPr>
              <w:keepNext/>
              <w:spacing w:after="0" w:line="240" w:lineRule="auto"/>
            </w:pPr>
            <w:r>
              <w:rPr>
                <w:sz w:val="18"/>
              </w:rPr>
              <w:t>Multas da Dívida Ativa</w:t>
            </w:r>
          </w:p>
        </w:tc>
        <w:tc>
          <w:tcPr>
            <w:tcW w:type="dxa" w:w="1872"/>
            <w:vAlign w:val="center"/>
            <w:shd w:val="clear" w:color="auto" w:fill="F3F6FA"/>
          </w:tcPr>
          <w:p>
            <w:pPr>
              <w:keepNext/>
              <w:spacing w:after="0" w:line="240" w:lineRule="auto"/>
            </w:pPr>
            <w:r>
              <w:rPr>
                <w:sz w:val="18"/>
              </w:rPr>
              <w:t>separada</w:t>
            </w:r>
          </w:p>
        </w:tc>
      </w:tr>
      <w:tr>
        <w:trPr>
          <w:cantSplit w:val="true"/>
        </w:trPr>
        <w:tc>
          <w:tcPr>
            <w:tcW w:type="dxa" w:w="1584"/>
            <w:vAlign w:val="center"/>
          </w:tcPr>
          <w:p>
            <w:pPr>
              <w:spacing w:after="0" w:line="240" w:lineRule="auto"/>
            </w:pPr>
            <w:r>
              <w:rPr>
                <w:rFonts w:ascii="Consolas" w:hAnsi="Consolas"/>
                <w:sz w:val="18"/>
              </w:rPr>
              <w:t>8</w:t>
            </w:r>
          </w:p>
        </w:tc>
        <w:tc>
          <w:tcPr>
            <w:tcW w:type="dxa" w:w="5904"/>
            <w:vAlign w:val="center"/>
          </w:tcPr>
          <w:p>
            <w:pPr>
              <w:spacing w:after="0" w:line="240" w:lineRule="auto"/>
            </w:pPr>
            <w:r>
              <w:rPr>
                <w:sz w:val="18"/>
              </w:rPr>
              <w:t>Juros de Mora da Dívida Ativa</w:t>
            </w:r>
          </w:p>
        </w:tc>
        <w:tc>
          <w:tcPr>
            <w:tcW w:type="dxa" w:w="1872"/>
            <w:vAlign w:val="center"/>
          </w:tcPr>
          <w:p>
            <w:pPr>
              <w:spacing w:after="0" w:line="240" w:lineRule="auto"/>
            </w:pPr>
            <w:r>
              <w:rPr>
                <w:sz w:val="18"/>
              </w:rPr>
              <w:t>separada</w:t>
            </w:r>
          </w:p>
        </w:tc>
      </w:tr>
    </w:tbl>
    <w:p>
      <w:pPr>
        <w:spacing w:after="40"/>
      </w:pPr>
    </w:p>
    <w:tbl>
      <w:tblPr>
        <w:tblW w:type="auto" w:w="0"/>
        <w:jc w:val="center"/>
        <w:tblLook w:firstColumn="1" w:firstRow="1" w:lastColumn="0" w:lastRow="0" w:noHBand="0" w:noVBand="1" w:val="04A0"/>
        <w:tblBorders>
          <w:left w:val="single" w:sz="24" w:space="0" w:color="2E75B6"/>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EAF1FB"/>
          </w:tcPr>
          <w:p>
            <w:pPr>
              <w:spacing w:after="40"/>
            </w:pPr>
            <w:r>
              <w:rPr>
                <w:b/>
                <w:color w:val="2E75B6"/>
                <w:sz w:val="20"/>
              </w:rPr>
              <w:t>Por que as duas formas precisam ser capturadas</w:t>
            </w:r>
          </w:p>
          <w:p>
            <w:pPr>
              <w:spacing w:after="40"/>
            </w:pPr>
            <w:r>
              <w:rPr>
                <w:sz w:val="19"/>
              </w:rPr>
              <w:t xml:space="preserve">Cada ente declara multas e juros de </w:t>
            </w:r>
            <w:r>
              <w:rPr>
                <w:b/>
                <w:sz w:val="19"/>
              </w:rPr>
              <w:t>uma de duas formas</w:t>
            </w:r>
            <w:r>
              <w:rPr>
                <w:sz w:val="19"/>
              </w:rPr>
              <w:t xml:space="preserve">: agrupada (dígitos 2 e 4) ou separada (dígitos 5 a 8). As contas são </w:t>
            </w:r>
            <w:r>
              <w:rPr>
                <w:b/>
                <w:sz w:val="19"/>
              </w:rPr>
              <w:t>alternativas, não sobrepostas</w:t>
            </w:r>
            <w:r>
              <w:rPr>
                <w:sz w:val="19"/>
              </w:rPr>
              <w:t>: na base de 25/09/2026, a soma dos dígitos 1 a 8 é igual à conta agregadora (dígito 0), sem dupla contagem.</w:t>
            </w:r>
          </w:p>
          <w:p>
            <w:pPr>
              <w:spacing w:after="40"/>
            </w:pPr>
            <w:r>
              <w:rPr>
                <w:sz w:val="19"/>
              </w:rPr>
              <w:t xml:space="preserve">Por isso cada métrica de multas e juros soma a conta agrupada </w:t>
            </w:r>
            <w:r>
              <w:rPr>
                <w:b/>
                <w:sz w:val="19"/>
              </w:rPr>
              <w:t>e</w:t>
            </w:r>
            <w:r>
              <w:rPr>
                <w:sz w:val="19"/>
              </w:rPr>
              <w:t xml:space="preserve"> as separadas correspondentes: 2 + 5 + 6 → Multas e Juros de Mora · 4 + 7 + 8 → Dívida Ativa – Multas e Juros.</w:t>
            </w:r>
          </w:p>
        </w:tc>
      </w:tr>
    </w:tbl>
    <w:p>
      <w:pPr>
        <w:spacing w:after="40"/>
      </w:pPr>
    </w:p>
    <w:p>
      <w:pPr>
        <w:pStyle w:val="Heading1"/>
      </w:pPr>
      <w:r>
        <w:t>2. Municípios — ISS</w:t>
      </w:r>
    </w:p>
    <w:p>
      <w:r>
        <w:rPr>
          <w:b/>
        </w:rPr>
        <w:t>ISS (Métrica 1) = Métricas 2 + 3 + 4 + 5 + 6</w:t>
      </w:r>
      <w:r>
        <w:t>, cada conta pela regra de valor da seção 1.</w:t>
      </w:r>
    </w:p>
    <w:p>
      <w:pPr>
        <w:pStyle w:val="Heading2"/>
        <w:keepNext/>
      </w:pPr>
      <w:r>
        <w:t>2.1 Anos 2019 e 2020</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2340"/>
        <w:gridCol w:w="2340"/>
        <w:gridCol w:w="2340"/>
        <w:gridCol w:w="2340"/>
      </w:tblGrid>
      <w:tr>
        <w:trPr>
          <w:tblHeader w:val="true"/>
        </w:trPr>
        <w:tc>
          <w:tcPr>
            <w:tcW w:type="dxa" w:w="2520"/>
            <w:shd w:val="clear" w:color="auto" w:fill="1F3864"/>
            <w:vAlign w:val="center"/>
          </w:tcPr>
          <w:p>
            <w:pPr>
              <w:keepNext/>
              <w:spacing w:after="0"/>
            </w:pPr>
            <w:r>
              <w:rPr>
                <w:b/>
                <w:color w:val="FFFFFF"/>
                <w:sz w:val="18"/>
              </w:rPr>
              <w:t>Métrica (coluna da planilha)</w:t>
            </w:r>
          </w:p>
        </w:tc>
        <w:tc>
          <w:tcPr>
            <w:tcW w:type="dxa" w:w="1440"/>
            <w:shd w:val="clear" w:color="auto" w:fill="1F3864"/>
            <w:vAlign w:val="center"/>
          </w:tcPr>
          <w:p>
            <w:pPr>
              <w:keepNext/>
              <w:spacing w:after="0"/>
            </w:pPr>
            <w:r>
              <w:rPr>
                <w:b/>
                <w:color w:val="FFFFFF"/>
                <w:sz w:val="18"/>
              </w:rPr>
              <w:t>Conta</w:t>
            </w:r>
          </w:p>
        </w:tc>
        <w:tc>
          <w:tcPr>
            <w:tcW w:type="dxa" w:w="4320"/>
            <w:shd w:val="clear" w:color="auto" w:fill="1F3864"/>
            <w:vAlign w:val="center"/>
          </w:tcPr>
          <w:p>
            <w:pPr>
              <w:keepNext/>
              <w:spacing w:after="0"/>
            </w:pPr>
            <w:r>
              <w:rPr>
                <w:b/>
                <w:color w:val="FFFFFF"/>
                <w:sz w:val="18"/>
              </w:rPr>
              <w:t>Descrição no SIOPE</w:t>
            </w:r>
          </w:p>
        </w:tc>
        <w:tc>
          <w:tcPr>
            <w:tcW w:type="dxa" w:w="1080"/>
            <w:shd w:val="clear" w:color="auto" w:fill="1F3864"/>
            <w:vAlign w:val="center"/>
          </w:tcPr>
          <w:p>
            <w:pPr>
              <w:keepNext/>
              <w:spacing w:after="0"/>
            </w:pPr>
            <w:r>
              <w:rPr>
                <w:b/>
                <w:color w:val="FFFFFF"/>
                <w:sz w:val="18"/>
              </w:rPr>
              <w:t>Alteração</w:t>
            </w:r>
          </w:p>
        </w:tc>
      </w:tr>
      <w:tr>
        <w:trPr>
          <w:cantSplit w:val="true"/>
        </w:trPr>
        <w:tc>
          <w:tcPr>
            <w:tcW w:type="dxa" w:w="2520"/>
            <w:vMerge w:val="restart"/>
            <w:vAlign w:val="center"/>
            <w:shd w:val="clear" w:color="auto" w:fill="F3F6FA"/>
          </w:tcPr>
          <w:p>
            <w:pPr>
              <w:keepNext/>
              <w:spacing w:after="0" w:line="240" w:lineRule="auto"/>
            </w:pPr>
            <w:r>
              <w:rPr>
                <w:sz w:val="18"/>
              </w:rPr>
              <w:t>2 · ISS Principal</w:t>
            </w:r>
          </w:p>
        </w:tc>
        <w:tc>
          <w:tcPr>
            <w:tcW w:type="dxa" w:w="1440"/>
            <w:vAlign w:val="center"/>
          </w:tcPr>
          <w:p>
            <w:pPr>
              <w:keepNext/>
              <w:spacing w:after="0" w:line="240" w:lineRule="auto"/>
            </w:pPr>
            <w:r>
              <w:rPr>
                <w:rFonts w:ascii="Consolas" w:hAnsi="Consolas"/>
                <w:sz w:val="18"/>
              </w:rPr>
              <w:t>41113050100</w:t>
            </w:r>
          </w:p>
        </w:tc>
        <w:tc>
          <w:tcPr>
            <w:tcW w:type="dxa" w:w="4320"/>
            <w:vAlign w:val="center"/>
          </w:tcPr>
          <w:p>
            <w:pPr>
              <w:keepNext/>
              <w:spacing w:after="0" w:line="240" w:lineRule="auto"/>
            </w:pPr>
            <w:r>
              <w:rPr>
                <w:sz w:val="18"/>
              </w:rPr>
              <w:t>“Imposto Sobre Serviços de Qualquer Natureza”</w:t>
            </w:r>
          </w:p>
        </w:tc>
        <w:tc>
          <w:tcPr>
            <w:tcW w:type="dxa" w:w="1080"/>
            <w:vAlign w:val="center"/>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49111305000</w:t>
            </w:r>
          </w:p>
        </w:tc>
        <w:tc>
          <w:tcPr>
            <w:tcW w:type="dxa" w:w="4320"/>
            <w:vAlign w:val="center"/>
            <w:shd w:val="clear" w:color="auto" w:fill="F3F6FA"/>
          </w:tcPr>
          <w:p>
            <w:pPr>
              <w:keepNext/>
              <w:spacing w:after="0" w:line="240" w:lineRule="auto"/>
            </w:pPr>
            <w:r>
              <w:rPr>
                <w:sz w:val="18"/>
              </w:rPr>
              <w:t xml:space="preserve">“Deduções de Receita do ISS” — </w:t>
            </w:r>
            <w:r>
              <w:rPr>
                <w:b/>
                <w:sz w:val="18"/>
              </w:rPr>
              <w:t>subtrair</w:t>
            </w:r>
            <w:r>
              <w:rPr>
                <w:sz w:val="18"/>
              </w:rPr>
              <w:t xml:space="preserve"> da Métrica 2</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keepNext/>
              <w:spacing w:after="0" w:line="240" w:lineRule="auto"/>
            </w:pPr>
            <w:r>
              <w:rPr>
                <w:sz w:val="18"/>
              </w:rPr>
              <w:t>3 · ISS Multas e Juros Mora</w:t>
            </w:r>
          </w:p>
        </w:tc>
        <w:tc>
          <w:tcPr>
            <w:tcW w:type="dxa" w:w="1440"/>
            <w:vAlign w:val="center"/>
          </w:tcPr>
          <w:p>
            <w:pPr>
              <w:keepNext/>
              <w:spacing w:after="0" w:line="240" w:lineRule="auto"/>
            </w:pPr>
            <w:r>
              <w:rPr>
                <w:rFonts w:ascii="Consolas" w:hAnsi="Consolas"/>
                <w:sz w:val="18"/>
              </w:rPr>
              <w:t>41911400000</w:t>
            </w:r>
          </w:p>
        </w:tc>
        <w:tc>
          <w:tcPr>
            <w:tcW w:type="dxa" w:w="4320"/>
            <w:vAlign w:val="center"/>
          </w:tcPr>
          <w:p>
            <w:pPr>
              <w:keepNext/>
              <w:spacing w:after="0" w:line="240" w:lineRule="auto"/>
            </w:pPr>
            <w:r>
              <w:rPr>
                <w:sz w:val="18"/>
              </w:rPr>
              <w:t>“Multas e Juros de Mora sobre o Imposto sobre Serviços de Qualquer Natureza – ISS”</w:t>
            </w:r>
          </w:p>
        </w:tc>
        <w:tc>
          <w:tcPr>
            <w:tcW w:type="dxa" w:w="1080"/>
            <w:vAlign w:val="center"/>
          </w:tcPr>
          <w:p>
            <w:pPr>
              <w:keepNext/>
              <w:spacing w:after="0" w:line="240" w:lineRule="auto"/>
            </w:pPr>
          </w:p>
        </w:tc>
      </w:tr>
      <w:tr>
        <w:trPr>
          <w:cantSplit w:val="true"/>
        </w:trPr>
        <w:tc>
          <w:tcPr>
            <w:tcW w:type="dxa" w:w="2520"/>
            <w:vAlign w:val="center"/>
            <w:shd w:val="clear" w:color="auto" w:fill="F3F6FA"/>
          </w:tcPr>
          <w:p>
            <w:pPr>
              <w:keepNext/>
              <w:spacing w:after="0" w:line="240" w:lineRule="auto"/>
            </w:pPr>
            <w:r>
              <w:rPr>
                <w:sz w:val="18"/>
              </w:rPr>
              <w:t>4 · ISS DA – Principal</w:t>
            </w:r>
          </w:p>
        </w:tc>
        <w:tc>
          <w:tcPr>
            <w:tcW w:type="dxa" w:w="1440"/>
            <w:vAlign w:val="center"/>
            <w:shd w:val="clear" w:color="auto" w:fill="F3F6FA"/>
          </w:tcPr>
          <w:p>
            <w:pPr>
              <w:keepNext/>
              <w:spacing w:after="0" w:line="240" w:lineRule="auto"/>
            </w:pPr>
            <w:r>
              <w:rPr>
                <w:rFonts w:ascii="Consolas" w:hAnsi="Consolas"/>
                <w:sz w:val="18"/>
              </w:rPr>
              <w:t>41931130000</w:t>
            </w:r>
          </w:p>
        </w:tc>
        <w:tc>
          <w:tcPr>
            <w:tcW w:type="dxa" w:w="4320"/>
            <w:vAlign w:val="center"/>
            <w:shd w:val="clear" w:color="auto" w:fill="F3F6FA"/>
          </w:tcPr>
          <w:p>
            <w:pPr>
              <w:keepNext/>
              <w:spacing w:after="0" w:line="240" w:lineRule="auto"/>
            </w:pPr>
            <w:r>
              <w:rPr>
                <w:sz w:val="18"/>
              </w:rPr>
              <w:t>“Receita da Dívida Ativa do Imposto sobre Serviços de Qualquer Natureza – ISS”</w:t>
            </w:r>
          </w:p>
        </w:tc>
        <w:tc>
          <w:tcPr>
            <w:tcW w:type="dxa" w:w="1080"/>
            <w:vAlign w:val="center"/>
            <w:shd w:val="clear" w:color="auto" w:fill="F3F6FA"/>
          </w:tcPr>
          <w:p>
            <w:pPr>
              <w:keepNext/>
              <w:spacing w:after="0" w:line="240" w:lineRule="auto"/>
            </w:pPr>
          </w:p>
        </w:tc>
      </w:tr>
      <w:tr>
        <w:trPr>
          <w:cantSplit w:val="true"/>
        </w:trPr>
        <w:tc>
          <w:tcPr>
            <w:tcW w:type="dxa" w:w="2520"/>
            <w:vAlign w:val="center"/>
          </w:tcPr>
          <w:p>
            <w:pPr>
              <w:keepNext/>
              <w:spacing w:after="0" w:line="240" w:lineRule="auto"/>
            </w:pPr>
            <w:r>
              <w:rPr>
                <w:sz w:val="18"/>
              </w:rPr>
              <w:t>5 · ISS DA – Multas e Juros</w:t>
            </w:r>
          </w:p>
        </w:tc>
        <w:tc>
          <w:tcPr>
            <w:tcW w:type="dxa" w:w="1440"/>
            <w:vAlign w:val="center"/>
          </w:tcPr>
          <w:p>
            <w:pPr>
              <w:keepNext/>
              <w:spacing w:after="0" w:line="240" w:lineRule="auto"/>
            </w:pPr>
            <w:r>
              <w:rPr>
                <w:rFonts w:ascii="Consolas" w:hAnsi="Consolas"/>
                <w:sz w:val="18"/>
              </w:rPr>
              <w:t>41913130000</w:t>
            </w:r>
          </w:p>
        </w:tc>
        <w:tc>
          <w:tcPr>
            <w:tcW w:type="dxa" w:w="4320"/>
            <w:vAlign w:val="center"/>
          </w:tcPr>
          <w:p>
            <w:pPr>
              <w:keepNext/>
              <w:spacing w:after="0" w:line="240" w:lineRule="auto"/>
            </w:pPr>
            <w:r>
              <w:rPr>
                <w:sz w:val="18"/>
              </w:rPr>
              <w:t>“Multas e Juros de Mora da Dívida Ativa sobre o ISS”</w:t>
            </w:r>
          </w:p>
        </w:tc>
        <w:tc>
          <w:tcPr>
            <w:tcW w:type="dxa" w:w="1080"/>
            <w:vAlign w:val="center"/>
          </w:tcPr>
          <w:p>
            <w:pPr>
              <w:keepNext/>
              <w:spacing w:after="0" w:line="240" w:lineRule="auto"/>
            </w:pPr>
          </w:p>
        </w:tc>
      </w:tr>
      <w:tr>
        <w:trPr>
          <w:cantSplit w:val="true"/>
        </w:trPr>
        <w:tc>
          <w:tcPr>
            <w:tcW w:type="dxa" w:w="2520"/>
            <w:vAlign w:val="center"/>
            <w:shd w:val="clear" w:color="auto" w:fill="F3F6FA"/>
          </w:tcPr>
          <w:p>
            <w:pPr>
              <w:spacing w:after="0" w:line="240" w:lineRule="auto"/>
            </w:pPr>
            <w:r>
              <w:rPr>
                <w:sz w:val="18"/>
              </w:rPr>
              <w:t>6 · ISS FECOP</w:t>
            </w:r>
          </w:p>
        </w:tc>
        <w:tc>
          <w:tcPr>
            <w:tcW w:type="dxa" w:w="1440"/>
            <w:vAlign w:val="center"/>
            <w:shd w:val="clear" w:color="auto" w:fill="F3F6FA"/>
          </w:tcPr>
          <w:p>
            <w:pPr>
              <w:spacing w:after="0" w:line="240" w:lineRule="auto"/>
            </w:pPr>
            <w:r>
              <w:rPr>
                <w:rFonts w:ascii="Consolas" w:hAnsi="Consolas"/>
                <w:sz w:val="18"/>
              </w:rPr>
              <w:t>41113050200</w:t>
            </w:r>
          </w:p>
        </w:tc>
        <w:tc>
          <w:tcPr>
            <w:tcW w:type="dxa" w:w="4320"/>
            <w:vAlign w:val="center"/>
            <w:shd w:val="clear" w:color="auto" w:fill="F3F6FA"/>
          </w:tcPr>
          <w:p>
            <w:pPr>
              <w:spacing w:after="0" w:line="240" w:lineRule="auto"/>
            </w:pPr>
            <w:r>
              <w:rPr>
                <w:sz w:val="18"/>
              </w:rPr>
              <w:t>“Adicional ISS - Fundo Municipal de Combate à Pobreza”</w:t>
            </w:r>
          </w:p>
        </w:tc>
        <w:tc>
          <w:tcPr>
            <w:tcW w:type="dxa" w:w="1080"/>
            <w:vAlign w:val="center"/>
            <w:shd w:val="clear" w:color="auto" w:fill="F3F6FA"/>
          </w:tcPr>
          <w:p>
            <w:pPr>
              <w:spacing w:after="0" w:line="240" w:lineRule="auto"/>
            </w:pPr>
          </w:p>
        </w:tc>
      </w:tr>
    </w:tbl>
    <w:p>
      <w:pPr>
        <w:spacing w:after="40"/>
      </w:pPr>
    </w:p>
    <w:tbl>
      <w:tblPr>
        <w:tblW w:type="auto" w:w="0"/>
        <w:jc w:val="center"/>
        <w:tblLook w:firstColumn="1" w:firstRow="1" w:lastColumn="0" w:lastRow="0" w:noHBand="0" w:noVBand="1" w:val="04A0"/>
        <w:tblBorders>
          <w:left w:val="single" w:sz="24" w:space="0" w:color="2E75B6"/>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EAF1FB"/>
          </w:tcPr>
          <w:p>
            <w:pPr>
              <w:spacing w:after="40"/>
            </w:pPr>
            <w:r>
              <w:rPr>
                <w:b/>
                <w:color w:val="2E75B6"/>
                <w:sz w:val="20"/>
              </w:rPr>
              <w:t>Dedução do ISS em 2019–2020</w:t>
            </w:r>
          </w:p>
          <w:p>
            <w:pPr>
              <w:spacing w:after="40"/>
            </w:pPr>
            <w:r>
              <w:rPr>
                <w:sz w:val="19"/>
              </w:rPr>
              <w:t xml:space="preserve">Em 2019–2020 o SIOPE </w:t>
            </w:r>
            <w:r>
              <w:rPr>
                <w:b/>
                <w:sz w:val="19"/>
              </w:rPr>
              <w:t>não usa a coluna</w:t>
            </w:r>
            <w:r>
              <w:rPr>
                <w:sz w:val="19"/>
              </w:rPr>
              <w:t xml:space="preserve"> </w:t>
            </w:r>
            <w:r>
              <w:rPr>
                <w:rFonts w:ascii="Consolas" w:hAnsi="Consolas"/>
                <w:sz w:val="18"/>
              </w:rPr>
              <w:t>vlr_outras_deducoes</w:t>
            </w:r>
            <w:r>
              <w:rPr>
                <w:sz w:val="19"/>
              </w:rPr>
              <w:t xml:space="preserve"> para o ISS: ela está zerada em todas as 38.425 linhas de ISS desses anos. As deduções ficam na conta própria </w:t>
            </w:r>
            <w:r>
              <w:rPr>
                <w:rFonts w:ascii="Consolas" w:hAnsi="Consolas"/>
                <w:sz w:val="18"/>
              </w:rPr>
              <w:t>49111305000</w:t>
            </w:r>
            <w:r>
              <w:rPr>
                <w:sz w:val="19"/>
              </w:rPr>
              <w:t>.</w:t>
            </w:r>
          </w:p>
          <w:p>
            <w:pPr>
              <w:spacing w:after="40"/>
            </w:pPr>
            <w:r>
              <w:rPr>
                <w:b/>
                <w:sz w:val="19"/>
              </w:rPr>
              <w:t>Regra:</w:t>
            </w:r>
            <w:r>
              <w:rPr>
                <w:sz w:val="19"/>
              </w:rPr>
              <w:t xml:space="preserve"> ISS Principal = </w:t>
            </w:r>
            <w:r>
              <w:rPr>
                <w:rFonts w:ascii="Consolas" w:hAnsi="Consolas"/>
                <w:sz w:val="18"/>
              </w:rPr>
              <w:t>|41113050100|</w:t>
            </w:r>
            <w:r>
              <w:rPr>
                <w:sz w:val="19"/>
              </w:rPr>
              <w:t xml:space="preserve"> − </w:t>
            </w:r>
            <w:r>
              <w:rPr>
                <w:rFonts w:ascii="Consolas" w:hAnsi="Consolas"/>
                <w:sz w:val="18"/>
              </w:rPr>
              <w:t>|49111305000|</w:t>
            </w:r>
            <w:r>
              <w:rPr>
                <w:sz w:val="19"/>
              </w:rPr>
              <w:t>. Como a Métrica 1 é a soma das demais, ela também fica líquida.</w:t>
            </w:r>
          </w:p>
          <w:p>
            <w:pPr>
              <w:spacing w:after="40"/>
            </w:pPr>
            <w:r>
              <w:rPr>
                <w:b/>
                <w:sz w:val="19"/>
              </w:rPr>
              <w:t>Sem desconto duplo:</w:t>
            </w:r>
            <w:r>
              <w:rPr>
                <w:sz w:val="19"/>
              </w:rPr>
              <w:t xml:space="preserve"> na base de 25/09/2026 nenhum ente-ano tem dedução na coluna e na conta ao mesmo tempo (1.466 entes-ano com valor na conta, 0 com valor na coluna).</w:t>
            </w:r>
          </w:p>
          <w:p>
            <w:pPr>
              <w:spacing w:after="40"/>
            </w:pPr>
            <w:r>
              <w:rPr>
                <w:sz w:val="19"/>
              </w:rPr>
              <w:t xml:space="preserve">Com isso o ISS fica </w:t>
            </w:r>
            <w:r>
              <w:rPr>
                <w:b/>
                <w:sz w:val="19"/>
              </w:rPr>
              <w:t>líquido em toda a série</w:t>
            </w:r>
            <w:r>
              <w:rPr>
                <w:sz w:val="19"/>
              </w:rPr>
              <w:t>, como já ocorre em 2021–2025.</w:t>
            </w:r>
          </w:p>
        </w:tc>
      </w:tr>
    </w:tbl>
    <w:p>
      <w:pPr>
        <w:spacing w:after="40"/>
      </w:pPr>
    </w:p>
    <w:p>
      <w:pPr>
        <w:pStyle w:val="Heading2"/>
        <w:keepNext/>
      </w:pPr>
      <w:r>
        <w:t>2.2 Anos 2021 e 2022</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2340"/>
        <w:gridCol w:w="2340"/>
        <w:gridCol w:w="2340"/>
        <w:gridCol w:w="2340"/>
      </w:tblGrid>
      <w:tr>
        <w:trPr>
          <w:tblHeader w:val="true"/>
        </w:trPr>
        <w:tc>
          <w:tcPr>
            <w:tcW w:type="dxa" w:w="2520"/>
            <w:shd w:val="clear" w:color="auto" w:fill="1F3864"/>
            <w:vAlign w:val="center"/>
          </w:tcPr>
          <w:p>
            <w:pPr>
              <w:keepNext/>
              <w:spacing w:after="0"/>
            </w:pPr>
            <w:r>
              <w:rPr>
                <w:b/>
                <w:color w:val="FFFFFF"/>
                <w:sz w:val="18"/>
              </w:rPr>
              <w:t>Métrica (coluna da planilha)</w:t>
            </w:r>
          </w:p>
        </w:tc>
        <w:tc>
          <w:tcPr>
            <w:tcW w:type="dxa" w:w="1440"/>
            <w:shd w:val="clear" w:color="auto" w:fill="1F3864"/>
            <w:vAlign w:val="center"/>
          </w:tcPr>
          <w:p>
            <w:pPr>
              <w:keepNext/>
              <w:spacing w:after="0"/>
            </w:pPr>
            <w:r>
              <w:rPr>
                <w:b/>
                <w:color w:val="FFFFFF"/>
                <w:sz w:val="18"/>
              </w:rPr>
              <w:t>Conta</w:t>
            </w:r>
          </w:p>
        </w:tc>
        <w:tc>
          <w:tcPr>
            <w:tcW w:type="dxa" w:w="4320"/>
            <w:shd w:val="clear" w:color="auto" w:fill="1F3864"/>
            <w:vAlign w:val="center"/>
          </w:tcPr>
          <w:p>
            <w:pPr>
              <w:keepNext/>
              <w:spacing w:after="0"/>
            </w:pPr>
            <w:r>
              <w:rPr>
                <w:b/>
                <w:color w:val="FFFFFF"/>
                <w:sz w:val="18"/>
              </w:rPr>
              <w:t>Descrição no SIOPE</w:t>
            </w:r>
          </w:p>
        </w:tc>
        <w:tc>
          <w:tcPr>
            <w:tcW w:type="dxa" w:w="1080"/>
            <w:shd w:val="clear" w:color="auto" w:fill="1F3864"/>
            <w:vAlign w:val="center"/>
          </w:tcPr>
          <w:p>
            <w:pPr>
              <w:keepNext/>
              <w:spacing w:after="0"/>
            </w:pPr>
            <w:r>
              <w:rPr>
                <w:b/>
                <w:color w:val="FFFFFF"/>
                <w:sz w:val="18"/>
              </w:rPr>
              <w:t>Alteração</w:t>
            </w:r>
          </w:p>
        </w:tc>
      </w:tr>
      <w:tr>
        <w:trPr>
          <w:cantSplit w:val="true"/>
        </w:trPr>
        <w:tc>
          <w:tcPr>
            <w:tcW w:type="dxa" w:w="2520"/>
            <w:vAlign w:val="center"/>
          </w:tcPr>
          <w:p>
            <w:pPr>
              <w:keepNext/>
              <w:spacing w:after="0" w:line="240" w:lineRule="auto"/>
            </w:pPr>
            <w:r>
              <w:rPr>
                <w:sz w:val="18"/>
              </w:rPr>
              <w:t>2 · ISS Principal</w:t>
            </w:r>
          </w:p>
        </w:tc>
        <w:tc>
          <w:tcPr>
            <w:tcW w:type="dxa" w:w="1440"/>
            <w:vAlign w:val="center"/>
          </w:tcPr>
          <w:p>
            <w:pPr>
              <w:keepNext/>
              <w:spacing w:after="0" w:line="240" w:lineRule="auto"/>
            </w:pPr>
            <w:r>
              <w:rPr>
                <w:rFonts w:ascii="Consolas" w:hAnsi="Consolas"/>
                <w:sz w:val="18"/>
              </w:rPr>
              <w:t>11180231</w:t>
            </w:r>
          </w:p>
        </w:tc>
        <w:tc>
          <w:tcPr>
            <w:tcW w:type="dxa" w:w="4320"/>
            <w:vAlign w:val="center"/>
          </w:tcPr>
          <w:p>
            <w:pPr>
              <w:keepNext/>
              <w:spacing w:after="0" w:line="240" w:lineRule="auto"/>
            </w:pPr>
            <w:r>
              <w:rPr>
                <w:sz w:val="18"/>
              </w:rPr>
              <w:t>“Imposto Sobre Serviços de Qualquer Natureza - Principal”</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3 · ISS Multas e Juros Mora</w:t>
            </w:r>
          </w:p>
        </w:tc>
        <w:tc>
          <w:tcPr>
            <w:tcW w:type="dxa" w:w="1440"/>
            <w:vAlign w:val="center"/>
            <w:shd w:val="clear" w:color="auto" w:fill="F3F6FA"/>
          </w:tcPr>
          <w:p>
            <w:pPr>
              <w:keepNext/>
              <w:spacing w:after="0" w:line="240" w:lineRule="auto"/>
            </w:pPr>
            <w:r>
              <w:rPr>
                <w:rFonts w:ascii="Consolas" w:hAnsi="Consolas"/>
                <w:sz w:val="18"/>
              </w:rPr>
              <w:t>11180232</w:t>
            </w:r>
          </w:p>
        </w:tc>
        <w:tc>
          <w:tcPr>
            <w:tcW w:type="dxa" w:w="4320"/>
            <w:vAlign w:val="center"/>
            <w:shd w:val="clear" w:color="auto" w:fill="F3F6FA"/>
          </w:tcPr>
          <w:p>
            <w:pPr>
              <w:keepNext/>
              <w:spacing w:after="0" w:line="240" w:lineRule="auto"/>
            </w:pPr>
            <w:r>
              <w:rPr>
                <w:sz w:val="18"/>
              </w:rPr>
              <w:t>“Imposto Sobre Serviços de Qualquer Natureza - Multas e Juros de Mora”</w:t>
            </w:r>
          </w:p>
        </w:tc>
        <w:tc>
          <w:tcPr>
            <w:tcW w:type="dxa" w:w="1080"/>
            <w:vAlign w:val="center"/>
            <w:shd w:val="clear" w:color="auto" w:fill="F3F6FA"/>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tcPr>
          <w:p>
            <w:pPr>
              <w:keepNext/>
              <w:spacing w:after="0" w:line="240" w:lineRule="auto"/>
            </w:pPr>
            <w:r>
              <w:rPr>
                <w:rFonts w:ascii="Consolas" w:hAnsi="Consolas"/>
                <w:sz w:val="18"/>
              </w:rPr>
              <w:t>11180235</w:t>
            </w:r>
          </w:p>
        </w:tc>
        <w:tc>
          <w:tcPr>
            <w:tcW w:type="dxa" w:w="4320"/>
            <w:vAlign w:val="center"/>
          </w:tcPr>
          <w:p>
            <w:pPr>
              <w:keepNext/>
              <w:spacing w:after="0" w:line="240" w:lineRule="auto"/>
            </w:pPr>
            <w:r>
              <w:rPr>
                <w:sz w:val="18"/>
              </w:rPr>
              <w:t>“Imposto Sobre Serviços de Qualquer Natureza - Multas”</w:t>
            </w:r>
          </w:p>
        </w:tc>
        <w:tc>
          <w:tcPr>
            <w:tcW w:type="dxa" w:w="1080"/>
            <w:vAlign w:val="center"/>
          </w:tcPr>
          <w:p>
            <w:pPr>
              <w:keepNext/>
              <w:spacing w:after="0" w:line="240" w:lineRule="auto"/>
            </w:pPr>
            <w:r>
              <w:rPr>
                <w:b/>
                <w:color w:val="2E7D32"/>
                <w:sz w:val="17"/>
              </w:rPr>
              <w:t>nova</w:t>
            </w: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11180236</w:t>
            </w:r>
          </w:p>
        </w:tc>
        <w:tc>
          <w:tcPr>
            <w:tcW w:type="dxa" w:w="4320"/>
            <w:vAlign w:val="center"/>
            <w:shd w:val="clear" w:color="auto" w:fill="F3F6FA"/>
          </w:tcPr>
          <w:p>
            <w:pPr>
              <w:keepNext/>
              <w:spacing w:after="0" w:line="240" w:lineRule="auto"/>
            </w:pPr>
            <w:r>
              <w:rPr>
                <w:sz w:val="18"/>
              </w:rPr>
              <w:t>“Imposto Sobre Serviços de Qualquer Natureza - Juros de Mora”</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keepNext/>
              <w:spacing w:after="0" w:line="240" w:lineRule="auto"/>
            </w:pPr>
            <w:r>
              <w:rPr>
                <w:sz w:val="18"/>
              </w:rPr>
              <w:t>4 · ISS DA – Principal</w:t>
            </w:r>
          </w:p>
        </w:tc>
        <w:tc>
          <w:tcPr>
            <w:tcW w:type="dxa" w:w="1440"/>
            <w:vAlign w:val="center"/>
          </w:tcPr>
          <w:p>
            <w:pPr>
              <w:keepNext/>
              <w:spacing w:after="0" w:line="240" w:lineRule="auto"/>
            </w:pPr>
            <w:r>
              <w:rPr>
                <w:rFonts w:ascii="Consolas" w:hAnsi="Consolas"/>
                <w:sz w:val="18"/>
              </w:rPr>
              <w:t>11180233</w:t>
            </w:r>
          </w:p>
        </w:tc>
        <w:tc>
          <w:tcPr>
            <w:tcW w:type="dxa" w:w="4320"/>
            <w:vAlign w:val="center"/>
          </w:tcPr>
          <w:p>
            <w:pPr>
              <w:keepNext/>
              <w:spacing w:after="0" w:line="240" w:lineRule="auto"/>
            </w:pPr>
            <w:r>
              <w:rPr>
                <w:sz w:val="18"/>
              </w:rPr>
              <w:t>“Imposto Sobre Serviços de Qualquer Natureza - Dívida Ativa”</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5 · ISS DA – Multas e Juros</w:t>
            </w:r>
          </w:p>
        </w:tc>
        <w:tc>
          <w:tcPr>
            <w:tcW w:type="dxa" w:w="1440"/>
            <w:vAlign w:val="center"/>
            <w:shd w:val="clear" w:color="auto" w:fill="F3F6FA"/>
          </w:tcPr>
          <w:p>
            <w:pPr>
              <w:keepNext/>
              <w:spacing w:after="0" w:line="240" w:lineRule="auto"/>
            </w:pPr>
            <w:r>
              <w:rPr>
                <w:rFonts w:ascii="Consolas" w:hAnsi="Consolas"/>
                <w:sz w:val="18"/>
              </w:rPr>
              <w:t>11180234</w:t>
            </w:r>
          </w:p>
        </w:tc>
        <w:tc>
          <w:tcPr>
            <w:tcW w:type="dxa" w:w="4320"/>
            <w:vAlign w:val="center"/>
            <w:shd w:val="clear" w:color="auto" w:fill="F3F6FA"/>
          </w:tcPr>
          <w:p>
            <w:pPr>
              <w:keepNext/>
              <w:spacing w:after="0" w:line="240" w:lineRule="auto"/>
            </w:pPr>
            <w:r>
              <w:rPr>
                <w:sz w:val="18"/>
              </w:rPr>
              <w:t>“Imposto Sobre Serviços de Qualquer Natureza - Dívida Ativa - Multas e Juros de Mora da Dívida Ativa”</w:t>
            </w:r>
          </w:p>
        </w:tc>
        <w:tc>
          <w:tcPr>
            <w:tcW w:type="dxa" w:w="1080"/>
            <w:vAlign w:val="center"/>
            <w:shd w:val="clear" w:color="auto" w:fill="F3F6FA"/>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tcPr>
          <w:p>
            <w:pPr>
              <w:keepNext/>
              <w:spacing w:after="0" w:line="240" w:lineRule="auto"/>
            </w:pPr>
            <w:r>
              <w:rPr>
                <w:rFonts w:ascii="Consolas" w:hAnsi="Consolas"/>
                <w:sz w:val="18"/>
              </w:rPr>
              <w:t>11180237</w:t>
            </w:r>
          </w:p>
        </w:tc>
        <w:tc>
          <w:tcPr>
            <w:tcW w:type="dxa" w:w="4320"/>
            <w:vAlign w:val="center"/>
          </w:tcPr>
          <w:p>
            <w:pPr>
              <w:keepNext/>
              <w:spacing w:after="0" w:line="240" w:lineRule="auto"/>
            </w:pPr>
            <w:r>
              <w:rPr>
                <w:sz w:val="18"/>
              </w:rPr>
              <w:t>“Imposto Sobre Serviços de Qualquer Natureza - Dívida Ativa - Multas da Dívida Ativa”</w:t>
            </w:r>
          </w:p>
        </w:tc>
        <w:tc>
          <w:tcPr>
            <w:tcW w:type="dxa" w:w="1080"/>
            <w:vAlign w:val="center"/>
          </w:tcPr>
          <w:p>
            <w:pPr>
              <w:keepNext/>
              <w:spacing w:after="0" w:line="240" w:lineRule="auto"/>
            </w:pPr>
            <w:r>
              <w:rPr>
                <w:b/>
                <w:color w:val="2E7D32"/>
                <w:sz w:val="17"/>
              </w:rPr>
              <w:t>nova</w:t>
            </w: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11180238</w:t>
            </w:r>
          </w:p>
        </w:tc>
        <w:tc>
          <w:tcPr>
            <w:tcW w:type="dxa" w:w="4320"/>
            <w:vAlign w:val="center"/>
            <w:shd w:val="clear" w:color="auto" w:fill="F3F6FA"/>
          </w:tcPr>
          <w:p>
            <w:pPr>
              <w:keepNext/>
              <w:spacing w:after="0" w:line="240" w:lineRule="auto"/>
            </w:pPr>
            <w:r>
              <w:rPr>
                <w:sz w:val="18"/>
              </w:rPr>
              <w:t>“Imposto Sobre Serviços de Qualquer Natureza - Juros de Mora da Dívida Ativa”</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spacing w:after="0" w:line="240" w:lineRule="auto"/>
            </w:pPr>
            <w:r>
              <w:rPr>
                <w:sz w:val="18"/>
              </w:rPr>
              <w:t>6 · ISS FECOP</w:t>
            </w:r>
          </w:p>
        </w:tc>
        <w:tc>
          <w:tcPr>
            <w:tcW w:type="dxa" w:w="1440"/>
            <w:vAlign w:val="center"/>
          </w:tcPr>
          <w:p>
            <w:pPr>
              <w:spacing w:after="0" w:line="240" w:lineRule="auto"/>
            </w:pPr>
            <w:r>
              <w:rPr>
                <w:rFonts w:ascii="Consolas" w:hAnsi="Consolas"/>
                <w:sz w:val="18"/>
              </w:rPr>
              <w:t>11180240</w:t>
            </w:r>
          </w:p>
        </w:tc>
        <w:tc>
          <w:tcPr>
            <w:tcW w:type="dxa" w:w="4320"/>
            <w:vAlign w:val="center"/>
          </w:tcPr>
          <w:p>
            <w:pPr>
              <w:spacing w:after="0" w:line="240" w:lineRule="auto"/>
            </w:pPr>
            <w:r>
              <w:rPr>
                <w:sz w:val="18"/>
              </w:rPr>
              <w:t>“Adicional Iss - Fundo Municipal de Combate à Pobreza” (agregadora — já inclui 11180241 a 11180248; não somá-las)</w:t>
            </w:r>
          </w:p>
        </w:tc>
        <w:tc>
          <w:tcPr>
            <w:tcW w:type="dxa" w:w="1080"/>
            <w:vAlign w:val="center"/>
          </w:tcPr>
          <w:p>
            <w:pPr>
              <w:spacing w:after="0" w:line="240" w:lineRule="auto"/>
            </w:pPr>
          </w:p>
        </w:tc>
      </w:tr>
    </w:tbl>
    <w:p>
      <w:pPr>
        <w:spacing w:after="40"/>
      </w:pPr>
    </w:p>
    <w:p>
      <w:pPr>
        <w:pStyle w:val="Heading2"/>
        <w:keepNext/>
      </w:pPr>
      <w:r>
        <w:t>2.3 Anos 2023 a 2025</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2340"/>
        <w:gridCol w:w="2340"/>
        <w:gridCol w:w="2340"/>
        <w:gridCol w:w="2340"/>
      </w:tblGrid>
      <w:tr>
        <w:trPr>
          <w:tblHeader w:val="true"/>
        </w:trPr>
        <w:tc>
          <w:tcPr>
            <w:tcW w:type="dxa" w:w="2520"/>
            <w:shd w:val="clear" w:color="auto" w:fill="1F3864"/>
            <w:vAlign w:val="center"/>
          </w:tcPr>
          <w:p>
            <w:pPr>
              <w:keepNext/>
              <w:spacing w:after="0"/>
            </w:pPr>
            <w:r>
              <w:rPr>
                <w:b/>
                <w:color w:val="FFFFFF"/>
                <w:sz w:val="18"/>
              </w:rPr>
              <w:t>Métrica (coluna da planilha)</w:t>
            </w:r>
          </w:p>
        </w:tc>
        <w:tc>
          <w:tcPr>
            <w:tcW w:type="dxa" w:w="1440"/>
            <w:shd w:val="clear" w:color="auto" w:fill="1F3864"/>
            <w:vAlign w:val="center"/>
          </w:tcPr>
          <w:p>
            <w:pPr>
              <w:keepNext/>
              <w:spacing w:after="0"/>
            </w:pPr>
            <w:r>
              <w:rPr>
                <w:b/>
                <w:color w:val="FFFFFF"/>
                <w:sz w:val="18"/>
              </w:rPr>
              <w:t>Conta</w:t>
            </w:r>
          </w:p>
        </w:tc>
        <w:tc>
          <w:tcPr>
            <w:tcW w:type="dxa" w:w="4320"/>
            <w:shd w:val="clear" w:color="auto" w:fill="1F3864"/>
            <w:vAlign w:val="center"/>
          </w:tcPr>
          <w:p>
            <w:pPr>
              <w:keepNext/>
              <w:spacing w:after="0"/>
            </w:pPr>
            <w:r>
              <w:rPr>
                <w:b/>
                <w:color w:val="FFFFFF"/>
                <w:sz w:val="18"/>
              </w:rPr>
              <w:t>Descrição no SIOPE</w:t>
            </w:r>
          </w:p>
        </w:tc>
        <w:tc>
          <w:tcPr>
            <w:tcW w:type="dxa" w:w="1080"/>
            <w:shd w:val="clear" w:color="auto" w:fill="1F3864"/>
            <w:vAlign w:val="center"/>
          </w:tcPr>
          <w:p>
            <w:pPr>
              <w:keepNext/>
              <w:spacing w:after="0"/>
            </w:pPr>
            <w:r>
              <w:rPr>
                <w:b/>
                <w:color w:val="FFFFFF"/>
                <w:sz w:val="18"/>
              </w:rPr>
              <w:t>Alteração</w:t>
            </w:r>
          </w:p>
        </w:tc>
      </w:tr>
      <w:tr>
        <w:trPr>
          <w:cantSplit w:val="true"/>
        </w:trPr>
        <w:tc>
          <w:tcPr>
            <w:tcW w:type="dxa" w:w="2520"/>
            <w:vAlign w:val="center"/>
          </w:tcPr>
          <w:p>
            <w:pPr>
              <w:keepNext/>
              <w:spacing w:after="0" w:line="240" w:lineRule="auto"/>
            </w:pPr>
            <w:r>
              <w:rPr>
                <w:sz w:val="18"/>
              </w:rPr>
              <w:t>2 · ISS Principal</w:t>
            </w:r>
          </w:p>
        </w:tc>
        <w:tc>
          <w:tcPr>
            <w:tcW w:type="dxa" w:w="1440"/>
            <w:vAlign w:val="center"/>
          </w:tcPr>
          <w:p>
            <w:pPr>
              <w:keepNext/>
              <w:spacing w:after="0" w:line="240" w:lineRule="auto"/>
            </w:pPr>
            <w:r>
              <w:rPr>
                <w:rFonts w:ascii="Consolas" w:hAnsi="Consolas"/>
                <w:sz w:val="18"/>
              </w:rPr>
              <w:t>11145111</w:t>
            </w:r>
          </w:p>
        </w:tc>
        <w:tc>
          <w:tcPr>
            <w:tcW w:type="dxa" w:w="4320"/>
            <w:vAlign w:val="center"/>
          </w:tcPr>
          <w:p>
            <w:pPr>
              <w:keepNext/>
              <w:spacing w:after="0" w:line="240" w:lineRule="auto"/>
            </w:pPr>
            <w:r>
              <w:rPr>
                <w:sz w:val="18"/>
              </w:rPr>
              <w:t>“Imposto sobre Serviços de Qualquer Natureza - ISSQN - Principal”</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3 · ISS Multas e Juros Mora</w:t>
            </w:r>
          </w:p>
        </w:tc>
        <w:tc>
          <w:tcPr>
            <w:tcW w:type="dxa" w:w="1440"/>
            <w:vAlign w:val="center"/>
            <w:shd w:val="clear" w:color="auto" w:fill="F3F6FA"/>
          </w:tcPr>
          <w:p>
            <w:pPr>
              <w:keepNext/>
              <w:spacing w:after="0" w:line="240" w:lineRule="auto"/>
            </w:pPr>
            <w:r>
              <w:rPr>
                <w:rFonts w:ascii="Consolas" w:hAnsi="Consolas"/>
                <w:sz w:val="18"/>
              </w:rPr>
              <w:t>11145112</w:t>
            </w:r>
          </w:p>
        </w:tc>
        <w:tc>
          <w:tcPr>
            <w:tcW w:type="dxa" w:w="4320"/>
            <w:vAlign w:val="center"/>
            <w:shd w:val="clear" w:color="auto" w:fill="F3F6FA"/>
          </w:tcPr>
          <w:p>
            <w:pPr>
              <w:keepNext/>
              <w:spacing w:after="0" w:line="240" w:lineRule="auto"/>
            </w:pPr>
            <w:r>
              <w:rPr>
                <w:sz w:val="18"/>
              </w:rPr>
              <w:t>“Imposto sobre Serviços de Qualquer Natureza - ISSQN - Multas e Juros de Mora”</w:t>
            </w:r>
          </w:p>
        </w:tc>
        <w:tc>
          <w:tcPr>
            <w:tcW w:type="dxa" w:w="1080"/>
            <w:vAlign w:val="center"/>
            <w:shd w:val="clear" w:color="auto" w:fill="F3F6FA"/>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tcPr>
          <w:p>
            <w:pPr>
              <w:keepNext/>
              <w:spacing w:after="0" w:line="240" w:lineRule="auto"/>
            </w:pPr>
            <w:r>
              <w:rPr>
                <w:rFonts w:ascii="Consolas" w:hAnsi="Consolas"/>
                <w:sz w:val="18"/>
              </w:rPr>
              <w:t>11145115</w:t>
            </w:r>
          </w:p>
        </w:tc>
        <w:tc>
          <w:tcPr>
            <w:tcW w:type="dxa" w:w="4320"/>
            <w:vAlign w:val="center"/>
          </w:tcPr>
          <w:p>
            <w:pPr>
              <w:keepNext/>
              <w:spacing w:after="0" w:line="240" w:lineRule="auto"/>
            </w:pPr>
            <w:r>
              <w:rPr>
                <w:sz w:val="18"/>
              </w:rPr>
              <w:t>“Imposto sobre Serviços de Qualquer Natureza - ISSQN - Multas”</w:t>
            </w:r>
          </w:p>
        </w:tc>
        <w:tc>
          <w:tcPr>
            <w:tcW w:type="dxa" w:w="1080"/>
            <w:vAlign w:val="center"/>
          </w:tcPr>
          <w:p>
            <w:pPr>
              <w:keepNext/>
              <w:spacing w:after="0" w:line="240" w:lineRule="auto"/>
            </w:pPr>
            <w:r>
              <w:rPr>
                <w:b/>
                <w:color w:val="2E7D32"/>
                <w:sz w:val="17"/>
              </w:rPr>
              <w:t>nova</w:t>
            </w: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11145116</w:t>
            </w:r>
          </w:p>
        </w:tc>
        <w:tc>
          <w:tcPr>
            <w:tcW w:type="dxa" w:w="4320"/>
            <w:vAlign w:val="center"/>
            <w:shd w:val="clear" w:color="auto" w:fill="F3F6FA"/>
          </w:tcPr>
          <w:p>
            <w:pPr>
              <w:keepNext/>
              <w:spacing w:after="0" w:line="240" w:lineRule="auto"/>
            </w:pPr>
            <w:r>
              <w:rPr>
                <w:sz w:val="18"/>
              </w:rPr>
              <w:t>“Imposto sobre Serviços de Qualquer Natureza - ISSQN - Juros de Mora”</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keepNext/>
              <w:spacing w:after="0" w:line="240" w:lineRule="auto"/>
            </w:pPr>
            <w:r>
              <w:rPr>
                <w:sz w:val="18"/>
              </w:rPr>
              <w:t>4 · ISS DA – Principal</w:t>
            </w:r>
          </w:p>
        </w:tc>
        <w:tc>
          <w:tcPr>
            <w:tcW w:type="dxa" w:w="1440"/>
            <w:vAlign w:val="center"/>
          </w:tcPr>
          <w:p>
            <w:pPr>
              <w:keepNext/>
              <w:spacing w:after="0" w:line="240" w:lineRule="auto"/>
            </w:pPr>
            <w:r>
              <w:rPr>
                <w:rFonts w:ascii="Consolas" w:hAnsi="Consolas"/>
                <w:sz w:val="18"/>
              </w:rPr>
              <w:t>11145113</w:t>
            </w:r>
          </w:p>
        </w:tc>
        <w:tc>
          <w:tcPr>
            <w:tcW w:type="dxa" w:w="4320"/>
            <w:vAlign w:val="center"/>
          </w:tcPr>
          <w:p>
            <w:pPr>
              <w:keepNext/>
              <w:spacing w:after="0" w:line="240" w:lineRule="auto"/>
            </w:pPr>
            <w:r>
              <w:rPr>
                <w:sz w:val="18"/>
              </w:rPr>
              <w:t>“Imposto sobre Serviços de Qualquer Natureza - ISSQN - Dívida Ativa”</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5 · ISS DA – Multas e Juros</w:t>
            </w:r>
          </w:p>
        </w:tc>
        <w:tc>
          <w:tcPr>
            <w:tcW w:type="dxa" w:w="1440"/>
            <w:vAlign w:val="center"/>
            <w:shd w:val="clear" w:color="auto" w:fill="F3F6FA"/>
          </w:tcPr>
          <w:p>
            <w:pPr>
              <w:keepNext/>
              <w:spacing w:after="0" w:line="240" w:lineRule="auto"/>
            </w:pPr>
            <w:r>
              <w:rPr>
                <w:rFonts w:ascii="Consolas" w:hAnsi="Consolas"/>
                <w:sz w:val="18"/>
              </w:rPr>
              <w:t>11145114</w:t>
            </w:r>
          </w:p>
        </w:tc>
        <w:tc>
          <w:tcPr>
            <w:tcW w:type="dxa" w:w="4320"/>
            <w:vAlign w:val="center"/>
            <w:shd w:val="clear" w:color="auto" w:fill="F3F6FA"/>
          </w:tcPr>
          <w:p>
            <w:pPr>
              <w:keepNext/>
              <w:spacing w:after="0" w:line="240" w:lineRule="auto"/>
            </w:pPr>
            <w:r>
              <w:rPr>
                <w:sz w:val="18"/>
              </w:rPr>
              <w:t>“Imposto sobre Serviços de Qualquer Natureza - ISSQN - Multas e Juros de Mora da Dívida Ativa”</w:t>
            </w:r>
          </w:p>
        </w:tc>
        <w:tc>
          <w:tcPr>
            <w:tcW w:type="dxa" w:w="1080"/>
            <w:vAlign w:val="center"/>
            <w:shd w:val="clear" w:color="auto" w:fill="F3F6FA"/>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tcPr>
          <w:p>
            <w:pPr>
              <w:keepNext/>
              <w:spacing w:after="0" w:line="240" w:lineRule="auto"/>
            </w:pPr>
            <w:r>
              <w:rPr>
                <w:rFonts w:ascii="Consolas" w:hAnsi="Consolas"/>
                <w:sz w:val="18"/>
              </w:rPr>
              <w:t>11145117</w:t>
            </w:r>
          </w:p>
        </w:tc>
        <w:tc>
          <w:tcPr>
            <w:tcW w:type="dxa" w:w="4320"/>
            <w:vAlign w:val="center"/>
          </w:tcPr>
          <w:p>
            <w:pPr>
              <w:keepNext/>
              <w:spacing w:after="0" w:line="240" w:lineRule="auto"/>
            </w:pPr>
            <w:r>
              <w:rPr>
                <w:sz w:val="18"/>
              </w:rPr>
              <w:t>“Imposto sobre Serviços de Qualquer Natureza - ISSQN - Multas da Dívida Ativa”</w:t>
            </w:r>
          </w:p>
        </w:tc>
        <w:tc>
          <w:tcPr>
            <w:tcW w:type="dxa" w:w="1080"/>
            <w:vAlign w:val="center"/>
          </w:tcPr>
          <w:p>
            <w:pPr>
              <w:keepNext/>
              <w:spacing w:after="0" w:line="240" w:lineRule="auto"/>
            </w:pPr>
            <w:r>
              <w:rPr>
                <w:b/>
                <w:color w:val="2E7D32"/>
                <w:sz w:val="17"/>
              </w:rPr>
              <w:t>nova</w:t>
            </w: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11145118</w:t>
            </w:r>
          </w:p>
        </w:tc>
        <w:tc>
          <w:tcPr>
            <w:tcW w:type="dxa" w:w="4320"/>
            <w:vAlign w:val="center"/>
            <w:shd w:val="clear" w:color="auto" w:fill="F3F6FA"/>
          </w:tcPr>
          <w:p>
            <w:pPr>
              <w:keepNext/>
              <w:spacing w:after="0" w:line="240" w:lineRule="auto"/>
            </w:pPr>
            <w:r>
              <w:rPr>
                <w:sz w:val="18"/>
              </w:rPr>
              <w:t>“Imposto sobre Serviços de Qualquer Natureza - ISSQN - Juros de Mora da Dívida Ativa”</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spacing w:after="0" w:line="240" w:lineRule="auto"/>
            </w:pPr>
            <w:r>
              <w:rPr>
                <w:sz w:val="18"/>
              </w:rPr>
              <w:t>6 · ISS FECOP</w:t>
            </w:r>
          </w:p>
        </w:tc>
        <w:tc>
          <w:tcPr>
            <w:tcW w:type="dxa" w:w="1440"/>
            <w:vAlign w:val="center"/>
          </w:tcPr>
          <w:p>
            <w:pPr>
              <w:spacing w:after="0" w:line="240" w:lineRule="auto"/>
            </w:pPr>
            <w:r>
              <w:rPr>
                <w:rFonts w:ascii="Consolas" w:hAnsi="Consolas"/>
                <w:sz w:val="18"/>
              </w:rPr>
              <w:t>11145120</w:t>
            </w:r>
          </w:p>
        </w:tc>
        <w:tc>
          <w:tcPr>
            <w:tcW w:type="dxa" w:w="4320"/>
            <w:vAlign w:val="center"/>
          </w:tcPr>
          <w:p>
            <w:pPr>
              <w:spacing w:after="0" w:line="240" w:lineRule="auto"/>
            </w:pPr>
            <w:r>
              <w:rPr>
                <w:sz w:val="18"/>
              </w:rPr>
              <w:t>“Adicional ISS - Fundo Municipal de Combate à Pobreza” (agregadora — já inclui 11145121 a 11145128; não somá-las)</w:t>
            </w:r>
          </w:p>
        </w:tc>
        <w:tc>
          <w:tcPr>
            <w:tcW w:type="dxa" w:w="1080"/>
            <w:vAlign w:val="center"/>
          </w:tcPr>
          <w:p>
            <w:pPr>
              <w:spacing w:after="0" w:line="240" w:lineRule="auto"/>
            </w:pPr>
          </w:p>
        </w:tc>
      </w:tr>
    </w:tbl>
    <w:p>
      <w:pPr>
        <w:spacing w:after="40"/>
      </w:pPr>
    </w:p>
    <w:tbl>
      <w:tblPr>
        <w:tblW w:type="auto" w:w="0"/>
        <w:jc w:val="center"/>
        <w:tblLook w:firstColumn="1" w:firstRow="1" w:lastColumn="0" w:lastRow="0" w:noHBand="0" w:noVBand="1" w:val="04A0"/>
        <w:tblBorders>
          <w:left w:val="single" w:sz="24" w:space="0" w:color="2E7D32"/>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EAF5EA"/>
          </w:tcPr>
          <w:p>
            <w:pPr>
              <w:spacing w:after="40"/>
            </w:pPr>
            <w:r>
              <w:rPr>
                <w:b/>
                <w:color w:val="2E7D32"/>
                <w:sz w:val="20"/>
              </w:rPr>
              <w:t>Impacto das contas novas de 2021–2025 (base de 25/09/2026)</w:t>
            </w:r>
          </w:p>
          <w:p>
            <w:pPr>
              <w:spacing w:after="40"/>
            </w:pPr>
            <w:r>
              <w:rPr>
                <w:sz w:val="19"/>
              </w:rPr>
              <w:t>R$ 725 milhões de ISS que a regra anterior não capturava, em 1.002 casos município-ano (R$ 255 mi em 2021–2022 e R$ 470 mi em 2023–2025).</w:t>
            </w:r>
          </w:p>
          <w:p>
            <w:pPr>
              <w:spacing w:after="40"/>
            </w:pPr>
            <w:r>
              <w:rPr>
                <w:sz w:val="19"/>
              </w:rPr>
              <w:t>Maiores casos: Belo Horizonte (R$ 224 mi nos cinco anos), DF (R$ 143 mi), Vitória e Goiânia. Em alguns entes todo o ISS estava nas contas separadas — por exemplo, BA/291735/2022 aparecia com ISS = 0 e tem R$ 5,6 mi.</w:t>
            </w:r>
          </w:p>
        </w:tc>
      </w:tr>
    </w:tbl>
    <w:p>
      <w:pPr>
        <w:spacing w:after="40"/>
      </w:pPr>
    </w:p>
    <w:p>
      <w:pPr>
        <w:pStyle w:val="Heading2"/>
      </w:pPr>
      <w:r>
        <w:t>2.4 Distrito Federal</w:t>
      </w:r>
    </w:p>
    <w:p>
      <w:r>
        <w:t xml:space="preserve">O DF é ao mesmo tempo Estado e Município. Seus dados vêm do arquivo de </w:t>
      </w:r>
      <w:r>
        <w:rPr>
          <w:b/>
        </w:rPr>
        <w:t>Estados</w:t>
      </w:r>
      <w:r>
        <w:t xml:space="preserve"> (</w:t>
      </w:r>
      <w:r>
        <w:rPr>
          <w:rFonts w:ascii="Consolas" w:hAnsi="Consolas"/>
          <w:sz w:val="20"/>
        </w:rPr>
        <w:t>sgl_uf = DF</w:t>
      </w:r>
      <w:r>
        <w:t xml:space="preserve">) e o ISS entra na aba </w:t>
      </w:r>
      <w:r>
        <w:rPr>
          <w:b/>
        </w:rPr>
        <w:t>Municípios</w:t>
      </w:r>
      <w:r>
        <w:t xml:space="preserve"> com </w:t>
      </w:r>
      <w:r>
        <w:rPr>
          <w:rFonts w:ascii="Consolas" w:hAnsi="Consolas"/>
          <w:sz w:val="20"/>
        </w:rPr>
        <w:t>COD_IBGE = 530010</w:t>
      </w:r>
      <w:r>
        <w:t xml:space="preserve">. O DF </w:t>
      </w:r>
      <w:r>
        <w:rPr>
          <w:b/>
        </w:rPr>
        <w:t>não recebe Cota-Parte do ICMS</w:t>
      </w:r>
      <w:r>
        <w:t xml:space="preserve"> (é o próprio arrecadador), por isso essa coluna fica vazia para ele.</w:t>
      </w:r>
    </w:p>
    <w:p>
      <w:pPr>
        <w:keepNext/>
      </w:pPr>
      <w:r>
        <w:rPr>
          <w:b/>
        </w:rPr>
        <w:t>Anos 2019 e 2020</w:t>
      </w:r>
      <w:r>
        <w:t xml:space="preserve"> — contas exclusivas do DF; não há ISS FECOP. </w:t>
      </w:r>
      <w:r>
        <w:rPr>
          <w:b/>
        </w:rPr>
        <w:t>ISS (Métrica 1) = Métricas 2 + 3 + 4 + 5.</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2340"/>
        <w:gridCol w:w="2340"/>
        <w:gridCol w:w="2340"/>
        <w:gridCol w:w="2340"/>
      </w:tblGrid>
      <w:tr>
        <w:trPr>
          <w:tblHeader w:val="true"/>
        </w:trPr>
        <w:tc>
          <w:tcPr>
            <w:tcW w:type="dxa" w:w="2520"/>
            <w:shd w:val="clear" w:color="auto" w:fill="1F3864"/>
            <w:vAlign w:val="center"/>
          </w:tcPr>
          <w:p>
            <w:pPr>
              <w:keepNext/>
              <w:spacing w:after="0"/>
            </w:pPr>
            <w:r>
              <w:rPr>
                <w:b/>
                <w:color w:val="FFFFFF"/>
                <w:sz w:val="18"/>
              </w:rPr>
              <w:t>Métrica (coluna da planilha)</w:t>
            </w:r>
          </w:p>
        </w:tc>
        <w:tc>
          <w:tcPr>
            <w:tcW w:type="dxa" w:w="1440"/>
            <w:shd w:val="clear" w:color="auto" w:fill="1F3864"/>
            <w:vAlign w:val="center"/>
          </w:tcPr>
          <w:p>
            <w:pPr>
              <w:keepNext/>
              <w:spacing w:after="0"/>
            </w:pPr>
            <w:r>
              <w:rPr>
                <w:b/>
                <w:color w:val="FFFFFF"/>
                <w:sz w:val="18"/>
              </w:rPr>
              <w:t>Conta</w:t>
            </w:r>
          </w:p>
        </w:tc>
        <w:tc>
          <w:tcPr>
            <w:tcW w:type="dxa" w:w="4320"/>
            <w:shd w:val="clear" w:color="auto" w:fill="1F3864"/>
            <w:vAlign w:val="center"/>
          </w:tcPr>
          <w:p>
            <w:pPr>
              <w:keepNext/>
              <w:spacing w:after="0"/>
            </w:pPr>
            <w:r>
              <w:rPr>
                <w:b/>
                <w:color w:val="FFFFFF"/>
                <w:sz w:val="18"/>
              </w:rPr>
              <w:t>Descrição no SIOPE</w:t>
            </w:r>
          </w:p>
        </w:tc>
        <w:tc>
          <w:tcPr>
            <w:tcW w:type="dxa" w:w="1080"/>
            <w:shd w:val="clear" w:color="auto" w:fill="1F3864"/>
            <w:vAlign w:val="center"/>
          </w:tcPr>
          <w:p>
            <w:pPr>
              <w:keepNext/>
              <w:spacing w:after="0"/>
            </w:pPr>
            <w:r>
              <w:rPr>
                <w:b/>
                <w:color w:val="FFFFFF"/>
                <w:sz w:val="18"/>
              </w:rPr>
              <w:t>Alteração</w:t>
            </w:r>
          </w:p>
        </w:tc>
      </w:tr>
      <w:tr>
        <w:trPr>
          <w:cantSplit w:val="true"/>
        </w:trPr>
        <w:tc>
          <w:tcPr>
            <w:tcW w:type="dxa" w:w="2520"/>
            <w:vMerge w:val="restart"/>
            <w:vAlign w:val="center"/>
            <w:shd w:val="clear" w:color="auto" w:fill="F3F6FA"/>
          </w:tcPr>
          <w:p>
            <w:pPr>
              <w:keepNext/>
              <w:spacing w:after="0" w:line="240" w:lineRule="auto"/>
            </w:pPr>
            <w:r>
              <w:rPr>
                <w:sz w:val="18"/>
              </w:rPr>
              <w:t>2 · ISS Principal</w:t>
            </w:r>
          </w:p>
        </w:tc>
        <w:tc>
          <w:tcPr>
            <w:tcW w:type="dxa" w:w="1440"/>
            <w:vAlign w:val="center"/>
          </w:tcPr>
          <w:p>
            <w:pPr>
              <w:keepNext/>
              <w:spacing w:after="0" w:line="240" w:lineRule="auto"/>
            </w:pPr>
            <w:r>
              <w:rPr>
                <w:rFonts w:ascii="Consolas" w:hAnsi="Consolas"/>
                <w:sz w:val="18"/>
              </w:rPr>
              <w:t>41113050000</w:t>
            </w:r>
          </w:p>
        </w:tc>
        <w:tc>
          <w:tcPr>
            <w:tcW w:type="dxa" w:w="4320"/>
            <w:vAlign w:val="center"/>
          </w:tcPr>
          <w:p>
            <w:pPr>
              <w:keepNext/>
              <w:spacing w:after="0" w:line="240" w:lineRule="auto"/>
            </w:pPr>
            <w:r>
              <w:rPr>
                <w:sz w:val="18"/>
              </w:rPr>
              <w:t>“Imposto sobre Serviços de Qualquer Natureza - ISS” (exclusivo DF; demais municípios usam 41113050100)</w:t>
            </w:r>
          </w:p>
        </w:tc>
        <w:tc>
          <w:tcPr>
            <w:tcW w:type="dxa" w:w="1080"/>
            <w:vAlign w:val="center"/>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49111305000</w:t>
            </w:r>
          </w:p>
        </w:tc>
        <w:tc>
          <w:tcPr>
            <w:tcW w:type="dxa" w:w="4320"/>
            <w:vAlign w:val="center"/>
            <w:shd w:val="clear" w:color="auto" w:fill="F3F6FA"/>
          </w:tcPr>
          <w:p>
            <w:pPr>
              <w:keepNext/>
              <w:spacing w:after="0" w:line="240" w:lineRule="auto"/>
            </w:pPr>
            <w:r>
              <w:rPr>
                <w:sz w:val="18"/>
              </w:rPr>
              <w:t xml:space="preserve">“Deduções de Receita do ISS” — </w:t>
            </w:r>
            <w:r>
              <w:rPr>
                <w:b/>
                <w:sz w:val="18"/>
              </w:rPr>
              <w:t>subtrair</w:t>
            </w:r>
            <w:r>
              <w:rPr>
                <w:sz w:val="18"/>
              </w:rPr>
              <w:t xml:space="preserve"> da Métrica 2 (mesma regra da seção 2.1)</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keepNext/>
              <w:spacing w:after="0" w:line="240" w:lineRule="auto"/>
            </w:pPr>
            <w:r>
              <w:rPr>
                <w:sz w:val="18"/>
              </w:rPr>
              <w:t>3 · ISS Multas e Juros Mora</w:t>
            </w:r>
          </w:p>
        </w:tc>
        <w:tc>
          <w:tcPr>
            <w:tcW w:type="dxa" w:w="1440"/>
            <w:vAlign w:val="center"/>
          </w:tcPr>
          <w:p>
            <w:pPr>
              <w:keepNext/>
              <w:spacing w:after="0" w:line="240" w:lineRule="auto"/>
            </w:pPr>
            <w:r>
              <w:rPr>
                <w:rFonts w:ascii="Consolas" w:hAnsi="Consolas"/>
                <w:sz w:val="18"/>
              </w:rPr>
              <w:t>41911400000</w:t>
            </w:r>
          </w:p>
        </w:tc>
        <w:tc>
          <w:tcPr>
            <w:tcW w:type="dxa" w:w="4320"/>
            <w:vAlign w:val="center"/>
          </w:tcPr>
          <w:p>
            <w:pPr>
              <w:keepNext/>
              <w:spacing w:after="0" w:line="240" w:lineRule="auto"/>
            </w:pPr>
            <w:r>
              <w:rPr>
                <w:sz w:val="18"/>
              </w:rPr>
              <w:t>“Multas e Juros de Mora sobre o Imposto sobre Serviços de Qualquer Natureza - ISS”</w:t>
            </w:r>
          </w:p>
        </w:tc>
        <w:tc>
          <w:tcPr>
            <w:tcW w:type="dxa" w:w="1080"/>
            <w:vAlign w:val="center"/>
          </w:tcPr>
          <w:p>
            <w:pPr>
              <w:keepNext/>
              <w:spacing w:after="0" w:line="240" w:lineRule="auto"/>
            </w:pPr>
          </w:p>
        </w:tc>
      </w:tr>
      <w:tr>
        <w:trPr>
          <w:cantSplit w:val="true"/>
        </w:trPr>
        <w:tc>
          <w:tcPr>
            <w:tcW w:type="dxa" w:w="2520"/>
            <w:vAlign w:val="center"/>
            <w:shd w:val="clear" w:color="auto" w:fill="F3F6FA"/>
          </w:tcPr>
          <w:p>
            <w:pPr>
              <w:keepNext/>
              <w:spacing w:after="0" w:line="240" w:lineRule="auto"/>
            </w:pPr>
            <w:r>
              <w:rPr>
                <w:sz w:val="18"/>
              </w:rPr>
              <w:t>4 · ISS DA – Principal</w:t>
            </w:r>
          </w:p>
        </w:tc>
        <w:tc>
          <w:tcPr>
            <w:tcW w:type="dxa" w:w="1440"/>
            <w:vAlign w:val="center"/>
            <w:shd w:val="clear" w:color="auto" w:fill="F3F6FA"/>
          </w:tcPr>
          <w:p>
            <w:pPr>
              <w:keepNext/>
              <w:spacing w:after="0" w:line="240" w:lineRule="auto"/>
            </w:pPr>
            <w:r>
              <w:rPr>
                <w:rFonts w:ascii="Consolas" w:hAnsi="Consolas"/>
                <w:sz w:val="18"/>
              </w:rPr>
              <w:t>41931130000</w:t>
            </w:r>
          </w:p>
        </w:tc>
        <w:tc>
          <w:tcPr>
            <w:tcW w:type="dxa" w:w="4320"/>
            <w:vAlign w:val="center"/>
            <w:shd w:val="clear" w:color="auto" w:fill="F3F6FA"/>
          </w:tcPr>
          <w:p>
            <w:pPr>
              <w:keepNext/>
              <w:spacing w:after="0" w:line="240" w:lineRule="auto"/>
            </w:pPr>
            <w:r>
              <w:rPr>
                <w:sz w:val="18"/>
              </w:rPr>
              <w:t>“Receita da Dívida Ativa do Imposto sobre Serviços de Qualquer Natureza - ISS”</w:t>
            </w:r>
          </w:p>
        </w:tc>
        <w:tc>
          <w:tcPr>
            <w:tcW w:type="dxa" w:w="1080"/>
            <w:vAlign w:val="center"/>
            <w:shd w:val="clear" w:color="auto" w:fill="F3F6FA"/>
          </w:tcPr>
          <w:p>
            <w:pPr>
              <w:keepNext/>
              <w:spacing w:after="0" w:line="240" w:lineRule="auto"/>
            </w:pPr>
          </w:p>
        </w:tc>
      </w:tr>
      <w:tr>
        <w:trPr>
          <w:cantSplit w:val="true"/>
        </w:trPr>
        <w:tc>
          <w:tcPr>
            <w:tcW w:type="dxa" w:w="2520"/>
            <w:vAlign w:val="center"/>
          </w:tcPr>
          <w:p>
            <w:pPr>
              <w:spacing w:after="0" w:line="240" w:lineRule="auto"/>
            </w:pPr>
            <w:r>
              <w:rPr>
                <w:sz w:val="18"/>
              </w:rPr>
              <w:t>5 · ISS DA – Multas e Juros</w:t>
            </w:r>
          </w:p>
        </w:tc>
        <w:tc>
          <w:tcPr>
            <w:tcW w:type="dxa" w:w="1440"/>
            <w:vAlign w:val="center"/>
          </w:tcPr>
          <w:p>
            <w:pPr>
              <w:spacing w:after="0" w:line="240" w:lineRule="auto"/>
            </w:pPr>
            <w:r>
              <w:rPr>
                <w:rFonts w:ascii="Consolas" w:hAnsi="Consolas"/>
                <w:sz w:val="18"/>
              </w:rPr>
              <w:t>41913130000</w:t>
            </w:r>
          </w:p>
        </w:tc>
        <w:tc>
          <w:tcPr>
            <w:tcW w:type="dxa" w:w="4320"/>
            <w:vAlign w:val="center"/>
          </w:tcPr>
          <w:p>
            <w:pPr>
              <w:spacing w:after="0" w:line="240" w:lineRule="auto"/>
            </w:pPr>
            <w:r>
              <w:rPr>
                <w:sz w:val="18"/>
              </w:rPr>
              <w:t>“Multas e Juros de Mora da Dívida Ativa sobre o ISS”</w:t>
            </w:r>
          </w:p>
        </w:tc>
        <w:tc>
          <w:tcPr>
            <w:tcW w:type="dxa" w:w="1080"/>
            <w:vAlign w:val="center"/>
          </w:tcPr>
          <w:p>
            <w:pPr>
              <w:spacing w:after="0" w:line="240" w:lineRule="auto"/>
            </w:pPr>
          </w:p>
        </w:tc>
      </w:tr>
    </w:tbl>
    <w:p>
      <w:pPr>
        <w:spacing w:after="40"/>
      </w:pPr>
    </w:p>
    <w:p>
      <w:r>
        <w:rPr>
          <w:b/>
        </w:rPr>
        <w:t>De 2021 em diante</w:t>
      </w:r>
      <w:r>
        <w:t xml:space="preserve"> o DF usa exatamente as mesmas contas dos demais municípios (seções 2.2 e 2.3), inclusive as contas novas.</w:t>
      </w:r>
    </w:p>
    <w:p>
      <w:pPr>
        <w:pStyle w:val="Heading2"/>
      </w:pPr>
      <w:r>
        <w:t>2.5 Exceções conhecidas: dedução maior que o próprio ISS</w:t>
      </w:r>
    </w:p>
    <w:p>
      <w:pPr>
        <w:keepNext/>
      </w:pPr>
      <w:r>
        <w:t xml:space="preserve">Em três casos de 2020, a dedução da conta </w:t>
      </w:r>
      <w:r>
        <w:rPr>
          <w:rFonts w:ascii="Consolas" w:hAnsi="Consolas"/>
          <w:sz w:val="20"/>
        </w:rPr>
        <w:t>49111305000</w:t>
      </w:r>
      <w:r>
        <w:t xml:space="preserve"> é maior que todo o ISS declarado pelo município. Pela regra, o ISS resultante fica </w:t>
      </w:r>
      <w:r>
        <w:rPr>
          <w:b/>
        </w:rPr>
        <w:t>negativo</w:t>
      </w:r>
      <w:r>
        <w:t>. Os valores estão mantidos como declarados no SIOPE; os valores redondos das deduções sugerem erro de registro pelo próprio ente.</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1560"/>
        <w:gridCol w:w="1560"/>
        <w:gridCol w:w="1560"/>
        <w:gridCol w:w="1560"/>
        <w:gridCol w:w="1560"/>
        <w:gridCol w:w="1560"/>
      </w:tblGrid>
      <w:tr>
        <w:trPr>
          <w:tblHeader w:val="true"/>
        </w:trPr>
        <w:tc>
          <w:tcPr>
            <w:tcW w:type="dxa" w:w="648"/>
            <w:shd w:val="clear" w:color="auto" w:fill="1F3864"/>
            <w:vAlign w:val="center"/>
          </w:tcPr>
          <w:p>
            <w:pPr>
              <w:keepNext/>
              <w:spacing w:after="0"/>
            </w:pPr>
            <w:r>
              <w:rPr>
                <w:b/>
                <w:color w:val="FFFFFF"/>
                <w:sz w:val="18"/>
              </w:rPr>
              <w:t>UF</w:t>
            </w:r>
          </w:p>
        </w:tc>
        <w:tc>
          <w:tcPr>
            <w:tcW w:type="dxa" w:w="1656"/>
            <w:shd w:val="clear" w:color="auto" w:fill="1F3864"/>
            <w:vAlign w:val="center"/>
          </w:tcPr>
          <w:p>
            <w:pPr>
              <w:keepNext/>
              <w:spacing w:after="0"/>
            </w:pPr>
            <w:r>
              <w:rPr>
                <w:b/>
                <w:color w:val="FFFFFF"/>
                <w:sz w:val="18"/>
              </w:rPr>
              <w:t>Município (cód.)</w:t>
            </w:r>
          </w:p>
        </w:tc>
        <w:tc>
          <w:tcPr>
            <w:tcW w:type="dxa" w:w="792"/>
            <w:shd w:val="clear" w:color="auto" w:fill="1F3864"/>
            <w:vAlign w:val="center"/>
          </w:tcPr>
          <w:p>
            <w:pPr>
              <w:keepNext/>
              <w:spacing w:after="0"/>
            </w:pPr>
            <w:r>
              <w:rPr>
                <w:b/>
                <w:color w:val="FFFFFF"/>
                <w:sz w:val="18"/>
              </w:rPr>
              <w:t>Ano</w:t>
            </w:r>
          </w:p>
        </w:tc>
        <w:tc>
          <w:tcPr>
            <w:tcW w:type="dxa" w:w="2016"/>
            <w:shd w:val="clear" w:color="auto" w:fill="1F3864"/>
            <w:vAlign w:val="center"/>
          </w:tcPr>
          <w:p>
            <w:pPr>
              <w:keepNext/>
              <w:spacing w:after="0"/>
            </w:pPr>
            <w:r>
              <w:rPr>
                <w:b/>
                <w:color w:val="FFFFFF"/>
                <w:sz w:val="18"/>
              </w:rPr>
              <w:t>ISS (Métr. 2 a 6)</w:t>
            </w:r>
          </w:p>
        </w:tc>
        <w:tc>
          <w:tcPr>
            <w:tcW w:type="dxa" w:w="2160"/>
            <w:shd w:val="clear" w:color="auto" w:fill="1F3864"/>
            <w:vAlign w:val="center"/>
          </w:tcPr>
          <w:p>
            <w:pPr>
              <w:keepNext/>
              <w:spacing w:after="0"/>
            </w:pPr>
            <w:r>
              <w:rPr>
                <w:b/>
                <w:color w:val="FFFFFF"/>
                <w:sz w:val="18"/>
              </w:rPr>
              <w:t>Dedução 49111305000</w:t>
            </w:r>
          </w:p>
        </w:tc>
        <w:tc>
          <w:tcPr>
            <w:tcW w:type="dxa" w:w="2088"/>
            <w:shd w:val="clear" w:color="auto" w:fill="1F3864"/>
            <w:vAlign w:val="center"/>
          </w:tcPr>
          <w:p>
            <w:pPr>
              <w:keepNext/>
              <w:spacing w:after="0"/>
            </w:pPr>
            <w:r>
              <w:rPr>
                <w:b/>
                <w:color w:val="FFFFFF"/>
                <w:sz w:val="18"/>
              </w:rPr>
              <w:t>ISS resultante</w:t>
            </w:r>
          </w:p>
        </w:tc>
      </w:tr>
      <w:tr>
        <w:trPr>
          <w:cantSplit w:val="true"/>
        </w:trPr>
        <w:tc>
          <w:tcPr>
            <w:tcW w:type="dxa" w:w="648"/>
            <w:vAlign w:val="center"/>
          </w:tcPr>
          <w:p>
            <w:pPr>
              <w:keepNext/>
              <w:spacing w:after="0" w:line="240" w:lineRule="auto"/>
            </w:pPr>
            <w:r>
              <w:rPr>
                <w:sz w:val="18"/>
              </w:rPr>
              <w:t>PI</w:t>
            </w:r>
          </w:p>
        </w:tc>
        <w:tc>
          <w:tcPr>
            <w:tcW w:type="dxa" w:w="1656"/>
            <w:vAlign w:val="center"/>
          </w:tcPr>
          <w:p>
            <w:pPr>
              <w:keepNext/>
              <w:spacing w:after="0" w:line="240" w:lineRule="auto"/>
            </w:pPr>
            <w:r>
              <w:rPr>
                <w:rFonts w:ascii="Consolas" w:hAnsi="Consolas"/>
                <w:sz w:val="18"/>
              </w:rPr>
              <w:t>220375</w:t>
            </w:r>
          </w:p>
        </w:tc>
        <w:tc>
          <w:tcPr>
            <w:tcW w:type="dxa" w:w="792"/>
            <w:vAlign w:val="center"/>
          </w:tcPr>
          <w:p>
            <w:pPr>
              <w:keepNext/>
              <w:spacing w:after="0" w:line="240" w:lineRule="auto"/>
            </w:pPr>
            <w:r>
              <w:rPr>
                <w:sz w:val="18"/>
              </w:rPr>
              <w:t>2020</w:t>
            </w:r>
          </w:p>
        </w:tc>
        <w:tc>
          <w:tcPr>
            <w:tcW w:type="dxa" w:w="2016"/>
            <w:vAlign w:val="center"/>
          </w:tcPr>
          <w:p>
            <w:pPr>
              <w:keepNext/>
              <w:spacing w:after="0" w:line="240" w:lineRule="auto"/>
            </w:pPr>
            <w:r>
              <w:rPr>
                <w:sz w:val="18"/>
              </w:rPr>
              <w:t>R$ 13.882,54</w:t>
            </w:r>
          </w:p>
        </w:tc>
        <w:tc>
          <w:tcPr>
            <w:tcW w:type="dxa" w:w="2160"/>
            <w:vAlign w:val="center"/>
          </w:tcPr>
          <w:p>
            <w:pPr>
              <w:keepNext/>
              <w:spacing w:after="0" w:line="240" w:lineRule="auto"/>
            </w:pPr>
            <w:r>
              <w:rPr>
                <w:sz w:val="18"/>
              </w:rPr>
              <w:t>R$ 1.500.000,00</w:t>
            </w:r>
          </w:p>
        </w:tc>
        <w:tc>
          <w:tcPr>
            <w:tcW w:type="dxa" w:w="2088"/>
            <w:vAlign w:val="center"/>
          </w:tcPr>
          <w:p>
            <w:pPr>
              <w:keepNext/>
              <w:spacing w:after="0" w:line="240" w:lineRule="auto"/>
            </w:pPr>
            <w:r>
              <w:rPr>
                <w:sz w:val="18"/>
              </w:rPr>
              <w:t>R$ −1.486.117,46</w:t>
            </w:r>
          </w:p>
        </w:tc>
      </w:tr>
      <w:tr>
        <w:trPr>
          <w:cantSplit w:val="true"/>
        </w:trPr>
        <w:tc>
          <w:tcPr>
            <w:tcW w:type="dxa" w:w="648"/>
            <w:vAlign w:val="center"/>
            <w:shd w:val="clear" w:color="auto" w:fill="F3F6FA"/>
          </w:tcPr>
          <w:p>
            <w:pPr>
              <w:keepNext/>
              <w:spacing w:after="0" w:line="240" w:lineRule="auto"/>
            </w:pPr>
            <w:r>
              <w:rPr>
                <w:sz w:val="18"/>
              </w:rPr>
              <w:t>PI</w:t>
            </w:r>
          </w:p>
        </w:tc>
        <w:tc>
          <w:tcPr>
            <w:tcW w:type="dxa" w:w="1656"/>
            <w:vAlign w:val="center"/>
            <w:shd w:val="clear" w:color="auto" w:fill="F3F6FA"/>
          </w:tcPr>
          <w:p>
            <w:pPr>
              <w:keepNext/>
              <w:spacing w:after="0" w:line="240" w:lineRule="auto"/>
            </w:pPr>
            <w:r>
              <w:rPr>
                <w:rFonts w:ascii="Consolas" w:hAnsi="Consolas"/>
                <w:sz w:val="18"/>
              </w:rPr>
              <w:t>220300</w:t>
            </w:r>
          </w:p>
        </w:tc>
        <w:tc>
          <w:tcPr>
            <w:tcW w:type="dxa" w:w="792"/>
            <w:vAlign w:val="center"/>
            <w:shd w:val="clear" w:color="auto" w:fill="F3F6FA"/>
          </w:tcPr>
          <w:p>
            <w:pPr>
              <w:keepNext/>
              <w:spacing w:after="0" w:line="240" w:lineRule="auto"/>
            </w:pPr>
            <w:r>
              <w:rPr>
                <w:sz w:val="18"/>
              </w:rPr>
              <w:t>2020</w:t>
            </w:r>
          </w:p>
        </w:tc>
        <w:tc>
          <w:tcPr>
            <w:tcW w:type="dxa" w:w="2016"/>
            <w:vAlign w:val="center"/>
            <w:shd w:val="clear" w:color="auto" w:fill="F3F6FA"/>
          </w:tcPr>
          <w:p>
            <w:pPr>
              <w:keepNext/>
              <w:spacing w:after="0" w:line="240" w:lineRule="auto"/>
            </w:pPr>
            <w:r>
              <w:rPr>
                <w:sz w:val="18"/>
              </w:rPr>
              <w:t>R$ 85.165,46</w:t>
            </w:r>
          </w:p>
        </w:tc>
        <w:tc>
          <w:tcPr>
            <w:tcW w:type="dxa" w:w="2160"/>
            <w:vAlign w:val="center"/>
            <w:shd w:val="clear" w:color="auto" w:fill="F3F6FA"/>
          </w:tcPr>
          <w:p>
            <w:pPr>
              <w:keepNext/>
              <w:spacing w:after="0" w:line="240" w:lineRule="auto"/>
            </w:pPr>
            <w:r>
              <w:rPr>
                <w:sz w:val="18"/>
              </w:rPr>
              <w:t>R$ 300.000,00</w:t>
            </w:r>
          </w:p>
        </w:tc>
        <w:tc>
          <w:tcPr>
            <w:tcW w:type="dxa" w:w="2088"/>
            <w:vAlign w:val="center"/>
            <w:shd w:val="clear" w:color="auto" w:fill="F3F6FA"/>
          </w:tcPr>
          <w:p>
            <w:pPr>
              <w:keepNext/>
              <w:spacing w:after="0" w:line="240" w:lineRule="auto"/>
            </w:pPr>
            <w:r>
              <w:rPr>
                <w:sz w:val="18"/>
              </w:rPr>
              <w:t>R$ −214.834,54</w:t>
            </w:r>
          </w:p>
        </w:tc>
      </w:tr>
      <w:tr>
        <w:trPr>
          <w:cantSplit w:val="true"/>
        </w:trPr>
        <w:tc>
          <w:tcPr>
            <w:tcW w:type="dxa" w:w="648"/>
            <w:vAlign w:val="center"/>
          </w:tcPr>
          <w:p>
            <w:pPr>
              <w:spacing w:after="0" w:line="240" w:lineRule="auto"/>
            </w:pPr>
            <w:r>
              <w:rPr>
                <w:sz w:val="18"/>
              </w:rPr>
              <w:t>RS</w:t>
            </w:r>
          </w:p>
        </w:tc>
        <w:tc>
          <w:tcPr>
            <w:tcW w:type="dxa" w:w="1656"/>
            <w:vAlign w:val="center"/>
          </w:tcPr>
          <w:p>
            <w:pPr>
              <w:spacing w:after="0" w:line="240" w:lineRule="auto"/>
            </w:pPr>
            <w:r>
              <w:rPr>
                <w:rFonts w:ascii="Consolas" w:hAnsi="Consolas"/>
                <w:sz w:val="18"/>
              </w:rPr>
              <w:t>430690</w:t>
            </w:r>
          </w:p>
        </w:tc>
        <w:tc>
          <w:tcPr>
            <w:tcW w:type="dxa" w:w="792"/>
            <w:vAlign w:val="center"/>
          </w:tcPr>
          <w:p>
            <w:pPr>
              <w:spacing w:after="0" w:line="240" w:lineRule="auto"/>
            </w:pPr>
            <w:r>
              <w:rPr>
                <w:sz w:val="18"/>
              </w:rPr>
              <w:t>2020</w:t>
            </w:r>
          </w:p>
        </w:tc>
        <w:tc>
          <w:tcPr>
            <w:tcW w:type="dxa" w:w="2016"/>
            <w:vAlign w:val="center"/>
          </w:tcPr>
          <w:p>
            <w:pPr>
              <w:spacing w:after="0" w:line="240" w:lineRule="auto"/>
            </w:pPr>
            <w:r>
              <w:rPr>
                <w:sz w:val="18"/>
              </w:rPr>
              <w:t>R$ 1.000,00</w:t>
            </w:r>
          </w:p>
        </w:tc>
        <w:tc>
          <w:tcPr>
            <w:tcW w:type="dxa" w:w="2160"/>
            <w:vAlign w:val="center"/>
          </w:tcPr>
          <w:p>
            <w:pPr>
              <w:spacing w:after="0" w:line="240" w:lineRule="auto"/>
            </w:pPr>
            <w:r>
              <w:rPr>
                <w:sz w:val="18"/>
              </w:rPr>
              <w:t>R$ 2.802,31</w:t>
            </w:r>
          </w:p>
        </w:tc>
        <w:tc>
          <w:tcPr>
            <w:tcW w:type="dxa" w:w="2088"/>
            <w:vAlign w:val="center"/>
          </w:tcPr>
          <w:p>
            <w:pPr>
              <w:spacing w:after="0" w:line="240" w:lineRule="auto"/>
            </w:pPr>
            <w:r>
              <w:rPr>
                <w:sz w:val="18"/>
              </w:rPr>
              <w:t>R$ −1.802,31</w:t>
            </w:r>
          </w:p>
        </w:tc>
      </w:tr>
    </w:tbl>
    <w:p>
      <w:pPr>
        <w:spacing w:after="40"/>
      </w:pPr>
    </w:p>
    <w:p>
      <w:pPr>
        <w:pStyle w:val="Heading1"/>
      </w:pPr>
      <w:r>
        <w:t>3. Municípios — Cota-Parte do ICMS</w:t>
      </w:r>
    </w:p>
    <w:p>
      <w:pPr>
        <w:keepNext/>
      </w:pPr>
      <w:r>
        <w:t>Métrica única (</w:t>
      </w:r>
      <w:r>
        <w:rPr>
          <w:b/>
        </w:rPr>
        <w:t>Cota-Parte</w:t>
      </w:r>
      <w:r>
        <w:t xml:space="preserve">), pela regra de valor da seção 1. Usa-se sempre a </w:t>
      </w:r>
      <w:r>
        <w:rPr>
          <w:b/>
        </w:rPr>
        <w:t>conta agregadora</w:t>
      </w:r>
      <w:r>
        <w:t>:</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3120"/>
        <w:gridCol w:w="3120"/>
        <w:gridCol w:w="3120"/>
      </w:tblGrid>
      <w:tr>
        <w:trPr>
          <w:tblHeader w:val="true"/>
        </w:trPr>
        <w:tc>
          <w:tcPr>
            <w:tcW w:type="dxa" w:w="1584"/>
            <w:shd w:val="clear" w:color="auto" w:fill="1F3864"/>
            <w:vAlign w:val="center"/>
          </w:tcPr>
          <w:p>
            <w:pPr>
              <w:keepNext/>
              <w:spacing w:after="0"/>
            </w:pPr>
            <w:r>
              <w:rPr>
                <w:b/>
                <w:color w:val="FFFFFF"/>
                <w:sz w:val="18"/>
              </w:rPr>
              <w:t>Faixa</w:t>
            </w:r>
          </w:p>
        </w:tc>
        <w:tc>
          <w:tcPr>
            <w:tcW w:type="dxa" w:w="1728"/>
            <w:shd w:val="clear" w:color="auto" w:fill="1F3864"/>
            <w:vAlign w:val="center"/>
          </w:tcPr>
          <w:p>
            <w:pPr>
              <w:keepNext/>
              <w:spacing w:after="0"/>
            </w:pPr>
            <w:r>
              <w:rPr>
                <w:b/>
                <w:color w:val="FFFFFF"/>
                <w:sz w:val="18"/>
              </w:rPr>
              <w:t>Conta</w:t>
            </w:r>
          </w:p>
        </w:tc>
        <w:tc>
          <w:tcPr>
            <w:tcW w:type="dxa" w:w="6048"/>
            <w:shd w:val="clear" w:color="auto" w:fill="1F3864"/>
            <w:vAlign w:val="center"/>
          </w:tcPr>
          <w:p>
            <w:pPr>
              <w:keepNext/>
              <w:spacing w:after="0"/>
            </w:pPr>
            <w:r>
              <w:rPr>
                <w:b/>
                <w:color w:val="FFFFFF"/>
                <w:sz w:val="18"/>
              </w:rPr>
              <w:t>Descrição no SIOPE</w:t>
            </w:r>
          </w:p>
        </w:tc>
      </w:tr>
      <w:tr>
        <w:trPr>
          <w:cantSplit w:val="true"/>
        </w:trPr>
        <w:tc>
          <w:tcPr>
            <w:tcW w:type="dxa" w:w="1584"/>
            <w:vAlign w:val="center"/>
          </w:tcPr>
          <w:p>
            <w:pPr>
              <w:keepNext/>
              <w:spacing w:after="0" w:line="240" w:lineRule="auto"/>
            </w:pPr>
            <w:r>
              <w:rPr>
                <w:sz w:val="18"/>
              </w:rPr>
              <w:t>2019–2020</w:t>
            </w:r>
          </w:p>
        </w:tc>
        <w:tc>
          <w:tcPr>
            <w:tcW w:type="dxa" w:w="1728"/>
            <w:vAlign w:val="center"/>
          </w:tcPr>
          <w:p>
            <w:pPr>
              <w:keepNext/>
              <w:spacing w:after="0" w:line="240" w:lineRule="auto"/>
            </w:pPr>
            <w:r>
              <w:rPr>
                <w:rFonts w:ascii="Consolas" w:hAnsi="Consolas"/>
                <w:sz w:val="18"/>
              </w:rPr>
              <w:t>41722010100</w:t>
            </w:r>
          </w:p>
        </w:tc>
        <w:tc>
          <w:tcPr>
            <w:tcW w:type="dxa" w:w="6048"/>
            <w:vAlign w:val="center"/>
          </w:tcPr>
          <w:p>
            <w:pPr>
              <w:keepNext/>
              <w:spacing w:after="0" w:line="240" w:lineRule="auto"/>
            </w:pPr>
            <w:r>
              <w:rPr>
                <w:sz w:val="18"/>
              </w:rPr>
              <w:t>“Cota-Parte do ICMS (100%)”</w:t>
            </w:r>
          </w:p>
        </w:tc>
      </w:tr>
      <w:tr>
        <w:trPr>
          <w:cantSplit w:val="true"/>
        </w:trPr>
        <w:tc>
          <w:tcPr>
            <w:tcW w:type="dxa" w:w="1584"/>
            <w:vAlign w:val="center"/>
            <w:shd w:val="clear" w:color="auto" w:fill="F3F6FA"/>
          </w:tcPr>
          <w:p>
            <w:pPr>
              <w:keepNext/>
              <w:spacing w:after="0" w:line="240" w:lineRule="auto"/>
            </w:pPr>
            <w:r>
              <w:rPr>
                <w:sz w:val="18"/>
              </w:rPr>
              <w:t>2021–2022</w:t>
            </w:r>
          </w:p>
        </w:tc>
        <w:tc>
          <w:tcPr>
            <w:tcW w:type="dxa" w:w="1728"/>
            <w:vAlign w:val="center"/>
            <w:shd w:val="clear" w:color="auto" w:fill="F3F6FA"/>
          </w:tcPr>
          <w:p>
            <w:pPr>
              <w:keepNext/>
              <w:spacing w:after="0" w:line="240" w:lineRule="auto"/>
            </w:pPr>
            <w:r>
              <w:rPr>
                <w:rFonts w:ascii="Consolas" w:hAnsi="Consolas"/>
                <w:sz w:val="18"/>
              </w:rPr>
              <w:t>17280110</w:t>
            </w:r>
          </w:p>
        </w:tc>
        <w:tc>
          <w:tcPr>
            <w:tcW w:type="dxa" w:w="6048"/>
            <w:vAlign w:val="center"/>
            <w:shd w:val="clear" w:color="auto" w:fill="F3F6FA"/>
          </w:tcPr>
          <w:p>
            <w:pPr>
              <w:keepNext/>
              <w:spacing w:after="0" w:line="240" w:lineRule="auto"/>
            </w:pPr>
            <w:r>
              <w:rPr>
                <w:sz w:val="18"/>
              </w:rPr>
              <w:t>“Cota-Parte do Icms”</w:t>
            </w:r>
          </w:p>
        </w:tc>
      </w:tr>
      <w:tr>
        <w:trPr>
          <w:cantSplit w:val="true"/>
        </w:trPr>
        <w:tc>
          <w:tcPr>
            <w:tcW w:type="dxa" w:w="1584"/>
            <w:vAlign w:val="center"/>
          </w:tcPr>
          <w:p>
            <w:pPr>
              <w:spacing w:after="0" w:line="240" w:lineRule="auto"/>
            </w:pPr>
            <w:r>
              <w:rPr>
                <w:sz w:val="18"/>
              </w:rPr>
              <w:t>2023–2025</w:t>
            </w:r>
          </w:p>
        </w:tc>
        <w:tc>
          <w:tcPr>
            <w:tcW w:type="dxa" w:w="1728"/>
            <w:vAlign w:val="center"/>
          </w:tcPr>
          <w:p>
            <w:pPr>
              <w:spacing w:after="0" w:line="240" w:lineRule="auto"/>
            </w:pPr>
            <w:r>
              <w:rPr>
                <w:rFonts w:ascii="Consolas" w:hAnsi="Consolas"/>
                <w:sz w:val="18"/>
              </w:rPr>
              <w:t>17215000</w:t>
            </w:r>
          </w:p>
        </w:tc>
        <w:tc>
          <w:tcPr>
            <w:tcW w:type="dxa" w:w="6048"/>
            <w:vAlign w:val="center"/>
          </w:tcPr>
          <w:p>
            <w:pPr>
              <w:spacing w:after="0" w:line="240" w:lineRule="auto"/>
            </w:pPr>
            <w:r>
              <w:rPr>
                <w:sz w:val="18"/>
              </w:rPr>
              <w:t>“Cota-Parte do ICMS”</w:t>
            </w:r>
          </w:p>
        </w:tc>
      </w:tr>
    </w:tbl>
    <w:p>
      <w:pPr>
        <w:spacing w:after="40"/>
      </w:pPr>
    </w:p>
    <w:tbl>
      <w:tblPr>
        <w:tblW w:type="auto" w:w="0"/>
        <w:jc w:val="center"/>
        <w:tblLook w:firstColumn="1" w:firstRow="1" w:lastColumn="0" w:lastRow="0" w:noHBand="0" w:noVBand="1" w:val="04A0"/>
        <w:tblBorders>
          <w:left w:val="single" w:sz="24" w:space="0" w:color="2E75B6"/>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EAF1FB"/>
          </w:tcPr>
          <w:p>
            <w:pPr>
              <w:spacing w:after="40"/>
            </w:pPr>
            <w:r>
              <w:rPr>
                <w:b/>
                <w:color w:val="2E75B6"/>
                <w:sz w:val="20"/>
              </w:rPr>
              <w:t>Observações</w:t>
            </w:r>
          </w:p>
          <w:p>
            <w:pPr>
              <w:spacing w:after="20"/>
              <w:ind w:left="259" w:hanging="202"/>
            </w:pPr>
            <w:r>
              <w:rPr>
                <w:sz w:val="19"/>
              </w:rPr>
              <w:t xml:space="preserve">•  A conta agregadora já inclui todos os desdobramentos (Principal, Multas, Dívida Ativa etc.). </w:t>
            </w:r>
            <w:r>
              <w:rPr>
                <w:b/>
                <w:sz w:val="19"/>
              </w:rPr>
              <w:t>Não somar</w:t>
            </w:r>
            <w:r>
              <w:rPr>
                <w:sz w:val="19"/>
              </w:rPr>
              <w:t xml:space="preserve"> as contas filhas (</w:t>
            </w:r>
            <w:r>
              <w:rPr>
                <w:rFonts w:ascii="Consolas" w:hAnsi="Consolas"/>
                <w:sz w:val="18"/>
              </w:rPr>
              <w:t>17280111</w:t>
            </w:r>
            <w:r>
              <w:rPr>
                <w:sz w:val="19"/>
              </w:rPr>
              <w:t>–</w:t>
            </w:r>
            <w:r>
              <w:rPr>
                <w:rFonts w:ascii="Consolas" w:hAnsi="Consolas"/>
                <w:sz w:val="18"/>
              </w:rPr>
              <w:t>17280118</w:t>
            </w:r>
            <w:r>
              <w:rPr>
                <w:sz w:val="19"/>
              </w:rPr>
              <w:t xml:space="preserve">; </w:t>
            </w:r>
            <w:r>
              <w:rPr>
                <w:rFonts w:ascii="Consolas" w:hAnsi="Consolas"/>
                <w:sz w:val="18"/>
              </w:rPr>
              <w:t>17215001</w:t>
            </w:r>
            <w:r>
              <w:rPr>
                <w:sz w:val="19"/>
              </w:rPr>
              <w:t>–</w:t>
            </w:r>
            <w:r>
              <w:rPr>
                <w:rFonts w:ascii="Consolas" w:hAnsi="Consolas"/>
                <w:sz w:val="18"/>
              </w:rPr>
              <w:t>17215008</w:t>
            </w:r>
            <w:r>
              <w:rPr>
                <w:sz w:val="19"/>
              </w:rPr>
              <w:t>): haveria dupla contagem. Conferido na base de 25/09/2026: em 2021–2022, mãe = soma das filhas, com diferença zero.</w:t>
            </w:r>
          </w:p>
          <w:p>
            <w:pPr>
              <w:spacing w:after="20"/>
              <w:ind w:left="259" w:hanging="202"/>
            </w:pPr>
            <w:r>
              <w:rPr>
                <w:sz w:val="19"/>
              </w:rPr>
              <w:t xml:space="preserve">•  A dedução do FUNDEB </w:t>
            </w:r>
            <w:r>
              <w:rPr>
                <w:b/>
                <w:sz w:val="19"/>
              </w:rPr>
              <w:t>não é descontada</w:t>
            </w:r>
            <w:r>
              <w:rPr>
                <w:sz w:val="19"/>
              </w:rPr>
              <w:t>: o valor é a cota-parte integral (100%).</w:t>
            </w:r>
          </w:p>
          <w:p>
            <w:pPr>
              <w:spacing w:after="20"/>
              <w:ind w:left="259" w:hanging="202"/>
            </w:pPr>
            <w:r>
              <w:rPr>
                <w:sz w:val="19"/>
              </w:rPr>
              <w:t>•  O DF não tem Cota-Parte (seção 2.4).</w:t>
            </w:r>
          </w:p>
          <w:p>
            <w:pPr>
              <w:spacing w:after="20"/>
              <w:ind w:left="259" w:hanging="202"/>
            </w:pPr>
            <w:r>
              <w:rPr>
                <w:sz w:val="19"/>
              </w:rPr>
              <w:t xml:space="preserve">•  A cota-parte da </w:t>
            </w:r>
            <w:r>
              <w:rPr>
                <w:b/>
                <w:sz w:val="19"/>
              </w:rPr>
              <w:t>compensação</w:t>
            </w:r>
            <w:r>
              <w:rPr>
                <w:sz w:val="19"/>
              </w:rPr>
              <w:t xml:space="preserve"> das perdas de ICMS (</w:t>
            </w:r>
            <w:r>
              <w:rPr>
                <w:rFonts w:ascii="Consolas" w:hAnsi="Consolas"/>
                <w:sz w:val="18"/>
              </w:rPr>
              <w:t>17295300</w:t>
            </w:r>
            <w:r>
              <w:rPr>
                <w:sz w:val="19"/>
              </w:rPr>
              <w:t xml:space="preserve">) </w:t>
            </w:r>
            <w:r>
              <w:rPr>
                <w:b/>
                <w:sz w:val="19"/>
              </w:rPr>
              <w:t>não entra aqui</w:t>
            </w:r>
            <w:r>
              <w:rPr>
                <w:sz w:val="19"/>
              </w:rPr>
              <w:t>: ela tem métrica própria, a Compensação de ICMS (seção 5). Outras transferências ligadas ao ICMS que não entram em nenhuma métrica estão na seção 5.5.</w:t>
            </w:r>
          </w:p>
        </w:tc>
      </w:tr>
    </w:tbl>
    <w:p>
      <w:pPr>
        <w:spacing w:after="40"/>
      </w:pPr>
    </w:p>
    <w:tbl>
      <w:tblPr>
        <w:tblW w:type="auto" w:w="0"/>
        <w:jc w:val="center"/>
        <w:tblLook w:firstColumn="1" w:firstRow="1" w:lastColumn="0" w:lastRow="0" w:noHBand="0" w:noVBand="1" w:val="04A0"/>
        <w:tblBorders>
          <w:left w:val="single" w:sz="24" w:space="0" w:color="C55A11"/>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FFF4E5"/>
          </w:tcPr>
          <w:p>
            <w:pPr>
              <w:spacing w:after="40"/>
            </w:pPr>
            <w:r>
              <w:rPr>
                <w:b/>
                <w:color w:val="C55A11"/>
                <w:sz w:val="20"/>
              </w:rPr>
              <w:t>Ponto em aberto — deduções na Cota-Parte (regra não alterada nesta versão)</w:t>
            </w:r>
          </w:p>
          <w:p>
            <w:pPr>
              <w:spacing w:after="40"/>
            </w:pPr>
            <w:r>
              <w:rPr>
                <w:sz w:val="19"/>
              </w:rPr>
              <w:t>Na base de 25/09/2026, alguns Municípios lançam o FUNDEB (20%) na coluna de outras deduções da Cota-Parte, o mesmo fenômeno que motivou o limiar de 10% no ICMS dos Estados (seção 4.1): em 2021–2025 são 41 casos município-ano com dedução acima de 10%, somando R$ 785 mi (23 deles com exatamente 20%).</w:t>
            </w:r>
          </w:p>
          <w:p>
            <w:pPr>
              <w:spacing w:after="40"/>
            </w:pPr>
            <w:r>
              <w:rPr>
                <w:sz w:val="19"/>
              </w:rPr>
              <w:t>A Cota-Parte segue a regra geral até haver decisão sobre aplicar o mesmo limiar.</w:t>
            </w:r>
          </w:p>
        </w:tc>
      </w:tr>
    </w:tbl>
    <w:p>
      <w:pPr>
        <w:spacing w:after="40"/>
      </w:pPr>
    </w:p>
    <w:p>
      <w:pPr>
        <w:pStyle w:val="Heading1"/>
      </w:pPr>
      <w:r>
        <w:t>4. Estados — ICMS</w:t>
      </w:r>
    </w:p>
    <w:p>
      <w:r>
        <w:rPr>
          <w:b/>
        </w:rPr>
        <w:t>ICMS (Métrica 1) = Métricas 2 + 3 + 4 + 5 + 6.</w:t>
      </w:r>
      <w:r>
        <w:t xml:space="preserve"> Nas tabelas abaixo, “ICMS” abrevia a descrição completa do SIOPE (“Imposto sobre Operações Relativas à Circulação de Mercadorias e sobre Prestações de Serviços de Transporte Interestadual e Intermunicipal e de Comunicação”).</w:t>
      </w:r>
    </w:p>
    <w:p>
      <w:pPr>
        <w:pStyle w:val="Heading2"/>
      </w:pPr>
      <w:r>
        <w:t>4.1 Regra das deduções: limiar de 10%</w:t>
      </w:r>
    </w:p>
    <w:tbl>
      <w:tblPr>
        <w:tblW w:type="auto" w:w="0"/>
        <w:jc w:val="center"/>
        <w:tblLook w:firstColumn="1" w:firstRow="1" w:lastColumn="0" w:lastRow="0" w:noHBand="0" w:noVBand="1" w:val="04A0"/>
        <w:tblBorders>
          <w:left w:val="single" w:sz="24" w:space="0" w:color="C55A11"/>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FFF4E5"/>
          </w:tcPr>
          <w:p>
            <w:pPr>
              <w:spacing w:after="40"/>
            </w:pPr>
            <w:r>
              <w:rPr>
                <w:b/>
                <w:color w:val="C55A11"/>
                <w:sz w:val="20"/>
              </w:rPr>
              <w:t>Regra — vale para o ICMS dos Estados e para a Compensação de ICMS (seção 5)</w:t>
            </w:r>
          </w:p>
          <w:p>
            <w:pPr>
              <w:spacing w:after="40"/>
            </w:pPr>
            <w:r>
              <w:rPr>
                <w:sz w:val="19"/>
              </w:rPr>
              <w:t xml:space="preserve">Para </w:t>
            </w:r>
            <w:r>
              <w:rPr>
                <w:b/>
                <w:sz w:val="19"/>
              </w:rPr>
              <w:t>cada conta</w:t>
            </w:r>
            <w:r>
              <w:rPr>
                <w:sz w:val="19"/>
              </w:rPr>
              <w:t xml:space="preserve"> (ICMS ou Compensação de ICMS):</w:t>
            </w:r>
          </w:p>
          <w:p>
            <w:pPr>
              <w:spacing w:after="20"/>
              <w:ind w:left="259" w:hanging="202"/>
            </w:pPr>
            <w:r>
              <w:rPr>
                <w:sz w:val="19"/>
              </w:rPr>
              <w:t xml:space="preserve">•  se a dedução for </w:t>
            </w:r>
            <w:r>
              <w:rPr>
                <w:b/>
                <w:sz w:val="19"/>
              </w:rPr>
              <w:t>maior que 10%</w:t>
            </w:r>
            <w:r>
              <w:rPr>
                <w:sz w:val="19"/>
              </w:rPr>
              <w:t xml:space="preserve"> da receita realizada da mesma conta → considerar </w:t>
            </w:r>
            <w:r>
              <w:rPr>
                <w:b/>
                <w:sz w:val="19"/>
              </w:rPr>
              <w:t>apenas</w:t>
            </w:r>
            <w:r>
              <w:rPr>
                <w:sz w:val="19"/>
              </w:rPr>
              <w:t xml:space="preserve"> </w:t>
            </w:r>
            <w:r>
              <w:rPr>
                <w:rFonts w:ascii="Consolas" w:hAnsi="Consolas"/>
                <w:sz w:val="18"/>
              </w:rPr>
              <w:t>vlr_receita_realizada</w:t>
            </w:r>
            <w:r>
              <w:rPr>
                <w:sz w:val="19"/>
              </w:rPr>
              <w:t xml:space="preserve"> (a dedução é ignorada);</w:t>
            </w:r>
          </w:p>
          <w:p>
            <w:pPr>
              <w:spacing w:after="20"/>
              <w:ind w:left="259" w:hanging="202"/>
            </w:pPr>
            <w:r>
              <w:rPr>
                <w:sz w:val="19"/>
              </w:rPr>
              <w:t xml:space="preserve">•  caso contrário → </w:t>
            </w:r>
            <w:r>
              <w:rPr>
                <w:rFonts w:ascii="Consolas" w:hAnsi="Consolas"/>
                <w:sz w:val="18"/>
              </w:rPr>
              <w:t>|vlr_receita_realizada| − |vlr_outras_deducoes|</w:t>
            </w:r>
            <w:r>
              <w:rPr>
                <w:sz w:val="19"/>
              </w:rPr>
              <w:t xml:space="preserve"> (regra geral).</w:t>
            </w:r>
          </w:p>
          <w:p>
            <w:pPr>
              <w:spacing w:after="40"/>
            </w:pPr>
            <w:r>
              <w:rPr>
                <w:b/>
                <w:sz w:val="19"/>
              </w:rPr>
              <w:t>Em 2019–2020</w:t>
            </w:r>
            <w:r>
              <w:rPr>
                <w:sz w:val="19"/>
              </w:rPr>
              <w:t xml:space="preserve"> a dedução fica em conta própria e o mesmo teste é feito contra a conta de receita correspondente: </w:t>
            </w:r>
            <w:r>
              <w:rPr>
                <w:rFonts w:ascii="Consolas" w:hAnsi="Consolas"/>
                <w:sz w:val="18"/>
              </w:rPr>
              <w:t>49111302000</w:t>
            </w:r>
            <w:r>
              <w:rPr>
                <w:sz w:val="19"/>
              </w:rPr>
              <w:t xml:space="preserve"> contra o ICMS Principal e </w:t>
            </w:r>
            <w:r>
              <w:rPr>
                <w:rFonts w:ascii="Consolas" w:hAnsi="Consolas"/>
                <w:sz w:val="18"/>
              </w:rPr>
              <w:t>49111302001</w:t>
            </w:r>
            <w:r>
              <w:rPr>
                <w:sz w:val="19"/>
              </w:rPr>
              <w:t xml:space="preserve"> contra o ICMS FECOP (seção 4.2).</w:t>
            </w:r>
          </w:p>
          <w:p>
            <w:pPr>
              <w:spacing w:after="40"/>
            </w:pPr>
            <w:r>
              <w:rPr>
                <w:sz w:val="19"/>
              </w:rPr>
              <w:t>O ISS e a Cota-Parte seguem a regra geral, sem limiar.</w:t>
            </w:r>
          </w:p>
        </w:tc>
      </w:tr>
    </w:tbl>
    <w:p>
      <w:pPr>
        <w:spacing w:after="40"/>
      </w:pPr>
    </w:p>
    <w:tbl>
      <w:tblPr>
        <w:tblW w:type="auto" w:w="0"/>
        <w:jc w:val="center"/>
        <w:tblLook w:firstColumn="1" w:firstRow="1" w:lastColumn="0" w:lastRow="0" w:noHBand="0" w:noVBand="1" w:val="04A0"/>
        <w:tblBorders>
          <w:left w:val="single" w:sz="24" w:space="0" w:color="2E75B6"/>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EAF1FB"/>
          </w:tcPr>
          <w:p>
            <w:pPr>
              <w:spacing w:after="40"/>
            </w:pPr>
            <w:r>
              <w:rPr>
                <w:b/>
                <w:color w:val="2E75B6"/>
                <w:sz w:val="20"/>
              </w:rPr>
              <w:t>Nota — por que o limiar existe</w:t>
            </w:r>
          </w:p>
          <w:p>
            <w:pPr>
              <w:spacing w:after="40"/>
            </w:pPr>
            <w:r>
              <w:rPr>
                <w:sz w:val="19"/>
              </w:rPr>
              <w:t xml:space="preserve">Para alguns Estados, as deduções da </w:t>
            </w:r>
            <w:r>
              <w:rPr>
                <w:b/>
                <w:sz w:val="19"/>
              </w:rPr>
              <w:t>Cota-Parte dos municípios (25%)</w:t>
            </w:r>
            <w:r>
              <w:rPr>
                <w:sz w:val="19"/>
              </w:rPr>
              <w:t xml:space="preserve"> ou do </w:t>
            </w:r>
            <w:r>
              <w:rPr>
                <w:b/>
                <w:sz w:val="19"/>
              </w:rPr>
              <w:t>FUNDEB</w:t>
            </w:r>
            <w:r>
              <w:rPr>
                <w:sz w:val="19"/>
              </w:rPr>
              <w:t xml:space="preserve"> estavam registradas na coluna de outras deduções (ou, em 2019–2020, na conta de dedução do ICMS). Assim, a distorção era muito grande, e é melhor não considerá-las em momento algum.</w:t>
            </w:r>
          </w:p>
          <w:p>
            <w:pPr>
              <w:spacing w:after="40"/>
            </w:pPr>
            <w:r>
              <w:rPr>
                <w:sz w:val="19"/>
              </w:rPr>
              <w:t>Exemplos: PI/2021 deduziu 25,0% do ICMS, e a Cota-Parte recebida pelos seus municípios foi 25,0%; MG/2024 deduziu 20,0%, contra 19,9%. Cada Estado registra de um jeito, e o mesmo Estado muda de um ano para outro (PI deduziu 25% em 2021–2022 e 0,1% a partir de 2023), o que gerava saltos artificiais na série.</w:t>
            </w:r>
          </w:p>
          <w:p>
            <w:pPr>
              <w:spacing w:after="40"/>
            </w:pPr>
            <w:r>
              <w:rPr>
                <w:sz w:val="19"/>
              </w:rPr>
              <w:t xml:space="preserve">Na base de 25/09/2026 há um vão claro entre os dois grupos: as deduções genuínas ficam </w:t>
            </w:r>
            <w:r>
              <w:rPr>
                <w:b/>
                <w:sz w:val="19"/>
              </w:rPr>
              <w:t>até 4,4%</w:t>
            </w:r>
            <w:r>
              <w:rPr>
                <w:sz w:val="19"/>
              </w:rPr>
              <w:t xml:space="preserve"> da receita e as distorcidas começam em </w:t>
            </w:r>
            <w:r>
              <w:rPr>
                <w:b/>
                <w:sz w:val="19"/>
              </w:rPr>
              <w:t>16,8%</w:t>
            </w:r>
            <w:r>
              <w:rPr>
                <w:sz w:val="19"/>
              </w:rPr>
              <w:t>.</w:t>
            </w:r>
          </w:p>
          <w:p>
            <w:pPr>
              <w:spacing w:after="40"/>
            </w:pPr>
            <w:r>
              <w:rPr>
                <w:sz w:val="19"/>
              </w:rPr>
              <w:t>Casos em que a dedução do ICMS Principal é ignorada: AP 2020; GO 2020; MG 2024; MS 2025; MT 2019–2025; PE 2024–2025; PI 2019–2022; RR 2022; SE 2021–2022; TO 2019–2025. Também são ignoradas as deduções do FECOP de GO (2021–2025) e de MS (2019–2020), além de algumas linhas de multas e dívida ativa.</w:t>
            </w:r>
          </w:p>
        </w:tc>
      </w:tr>
    </w:tbl>
    <w:p>
      <w:pPr>
        <w:spacing w:after="40"/>
      </w:pPr>
    </w:p>
    <w:p>
      <w:pPr>
        <w:pStyle w:val="Heading2"/>
        <w:keepNext/>
      </w:pPr>
      <w:r>
        <w:t>4.2 Anos 2019 e 2020</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2340"/>
        <w:gridCol w:w="2340"/>
        <w:gridCol w:w="2340"/>
        <w:gridCol w:w="2340"/>
      </w:tblGrid>
      <w:tr>
        <w:trPr>
          <w:tblHeader w:val="true"/>
        </w:trPr>
        <w:tc>
          <w:tcPr>
            <w:tcW w:type="dxa" w:w="2520"/>
            <w:shd w:val="clear" w:color="auto" w:fill="1F3864"/>
            <w:vAlign w:val="center"/>
          </w:tcPr>
          <w:p>
            <w:pPr>
              <w:keepNext/>
              <w:spacing w:after="0"/>
            </w:pPr>
            <w:r>
              <w:rPr>
                <w:b/>
                <w:color w:val="FFFFFF"/>
                <w:sz w:val="18"/>
              </w:rPr>
              <w:t>Métrica (coluna da planilha)</w:t>
            </w:r>
          </w:p>
        </w:tc>
        <w:tc>
          <w:tcPr>
            <w:tcW w:type="dxa" w:w="1440"/>
            <w:shd w:val="clear" w:color="auto" w:fill="1F3864"/>
            <w:vAlign w:val="center"/>
          </w:tcPr>
          <w:p>
            <w:pPr>
              <w:keepNext/>
              <w:spacing w:after="0"/>
            </w:pPr>
            <w:r>
              <w:rPr>
                <w:b/>
                <w:color w:val="FFFFFF"/>
                <w:sz w:val="18"/>
              </w:rPr>
              <w:t>Conta</w:t>
            </w:r>
          </w:p>
        </w:tc>
        <w:tc>
          <w:tcPr>
            <w:tcW w:type="dxa" w:w="4320"/>
            <w:shd w:val="clear" w:color="auto" w:fill="1F3864"/>
            <w:vAlign w:val="center"/>
          </w:tcPr>
          <w:p>
            <w:pPr>
              <w:keepNext/>
              <w:spacing w:after="0"/>
            </w:pPr>
            <w:r>
              <w:rPr>
                <w:b/>
                <w:color w:val="FFFFFF"/>
                <w:sz w:val="18"/>
              </w:rPr>
              <w:t>Descrição no SIOPE</w:t>
            </w:r>
          </w:p>
        </w:tc>
        <w:tc>
          <w:tcPr>
            <w:tcW w:type="dxa" w:w="1080"/>
            <w:shd w:val="clear" w:color="auto" w:fill="1F3864"/>
            <w:vAlign w:val="center"/>
          </w:tcPr>
          <w:p>
            <w:pPr>
              <w:keepNext/>
              <w:spacing w:after="0"/>
            </w:pPr>
            <w:r>
              <w:rPr>
                <w:b/>
                <w:color w:val="FFFFFF"/>
                <w:sz w:val="18"/>
              </w:rPr>
              <w:t>Alteração</w:t>
            </w:r>
          </w:p>
        </w:tc>
      </w:tr>
      <w:tr>
        <w:trPr>
          <w:cantSplit w:val="true"/>
        </w:trPr>
        <w:tc>
          <w:tcPr>
            <w:tcW w:type="dxa" w:w="2520"/>
            <w:vMerge w:val="restart"/>
            <w:vAlign w:val="center"/>
            <w:shd w:val="clear" w:color="auto" w:fill="F3F6FA"/>
          </w:tcPr>
          <w:p>
            <w:pPr>
              <w:keepNext/>
              <w:spacing w:after="0" w:line="240" w:lineRule="auto"/>
            </w:pPr>
            <w:r>
              <w:rPr>
                <w:sz w:val="18"/>
              </w:rPr>
              <w:t>2 · ICMS Principal</w:t>
            </w:r>
          </w:p>
        </w:tc>
        <w:tc>
          <w:tcPr>
            <w:tcW w:type="dxa" w:w="1440"/>
            <w:vAlign w:val="center"/>
          </w:tcPr>
          <w:p>
            <w:pPr>
              <w:keepNext/>
              <w:spacing w:after="0" w:line="240" w:lineRule="auto"/>
            </w:pPr>
            <w:r>
              <w:rPr>
                <w:rFonts w:ascii="Consolas" w:hAnsi="Consolas"/>
                <w:sz w:val="18"/>
              </w:rPr>
              <w:t>41113020100</w:t>
            </w:r>
          </w:p>
        </w:tc>
        <w:tc>
          <w:tcPr>
            <w:tcW w:type="dxa" w:w="4320"/>
            <w:vAlign w:val="center"/>
          </w:tcPr>
          <w:p>
            <w:pPr>
              <w:keepNext/>
              <w:spacing w:after="0" w:line="240" w:lineRule="auto"/>
            </w:pPr>
            <w:r>
              <w:rPr>
                <w:sz w:val="18"/>
              </w:rPr>
              <w:t>“Imp. sobre Operações Relativas à Circulação de Mercadorias e sobre Prestações de Serviços de Transporte Interestadual e Intermunicipal e de Comunicação”</w:t>
            </w:r>
          </w:p>
        </w:tc>
        <w:tc>
          <w:tcPr>
            <w:tcW w:type="dxa" w:w="1080"/>
            <w:vAlign w:val="center"/>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49111302000</w:t>
            </w:r>
          </w:p>
        </w:tc>
        <w:tc>
          <w:tcPr>
            <w:tcW w:type="dxa" w:w="4320"/>
            <w:vAlign w:val="center"/>
            <w:shd w:val="clear" w:color="auto" w:fill="F3F6FA"/>
          </w:tcPr>
          <w:p>
            <w:pPr>
              <w:keepNext/>
              <w:spacing w:after="0" w:line="240" w:lineRule="auto"/>
            </w:pPr>
            <w:r>
              <w:rPr>
                <w:sz w:val="18"/>
              </w:rPr>
              <w:t xml:space="preserve">“Deduções da Receita do ICMS” — subtrair da Métrica 2, </w:t>
            </w:r>
            <w:r>
              <w:rPr>
                <w:b/>
                <w:sz w:val="18"/>
              </w:rPr>
              <w:t>sujeito ao limiar de 10%</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keepNext/>
              <w:spacing w:after="0" w:line="240" w:lineRule="auto"/>
            </w:pPr>
            <w:r>
              <w:rPr>
                <w:sz w:val="18"/>
              </w:rPr>
              <w:t>3 · ICMS Multas e Juros Mora</w:t>
            </w:r>
          </w:p>
        </w:tc>
        <w:tc>
          <w:tcPr>
            <w:tcW w:type="dxa" w:w="1440"/>
            <w:vAlign w:val="center"/>
          </w:tcPr>
          <w:p>
            <w:pPr>
              <w:keepNext/>
              <w:spacing w:after="0" w:line="240" w:lineRule="auto"/>
            </w:pPr>
            <w:r>
              <w:rPr>
                <w:rFonts w:ascii="Consolas" w:hAnsi="Consolas"/>
                <w:sz w:val="18"/>
              </w:rPr>
              <w:t>41911420000</w:t>
            </w:r>
          </w:p>
        </w:tc>
        <w:tc>
          <w:tcPr>
            <w:tcW w:type="dxa" w:w="4320"/>
            <w:vAlign w:val="center"/>
          </w:tcPr>
          <w:p>
            <w:pPr>
              <w:keepNext/>
              <w:spacing w:after="0" w:line="240" w:lineRule="auto"/>
            </w:pPr>
            <w:r>
              <w:rPr>
                <w:sz w:val="18"/>
              </w:rPr>
              <w:t>“Multas e Juros de Mora sobre o ICMS”</w:t>
            </w:r>
          </w:p>
        </w:tc>
        <w:tc>
          <w:tcPr>
            <w:tcW w:type="dxa" w:w="1080"/>
            <w:vAlign w:val="center"/>
          </w:tcPr>
          <w:p>
            <w:pPr>
              <w:keepNext/>
              <w:spacing w:after="0" w:line="240" w:lineRule="auto"/>
            </w:pPr>
          </w:p>
        </w:tc>
      </w:tr>
      <w:tr>
        <w:trPr>
          <w:cantSplit w:val="true"/>
        </w:trPr>
        <w:tc>
          <w:tcPr>
            <w:tcW w:type="dxa" w:w="2520"/>
            <w:vAlign w:val="center"/>
            <w:shd w:val="clear" w:color="auto" w:fill="F3F6FA"/>
          </w:tcPr>
          <w:p>
            <w:pPr>
              <w:keepNext/>
              <w:spacing w:after="0" w:line="240" w:lineRule="auto"/>
            </w:pPr>
            <w:r>
              <w:rPr>
                <w:sz w:val="18"/>
              </w:rPr>
              <w:t>4 · ICMS DA – Principal</w:t>
            </w:r>
          </w:p>
        </w:tc>
        <w:tc>
          <w:tcPr>
            <w:tcW w:type="dxa" w:w="1440"/>
            <w:vAlign w:val="center"/>
            <w:shd w:val="clear" w:color="auto" w:fill="F3F6FA"/>
          </w:tcPr>
          <w:p>
            <w:pPr>
              <w:keepNext/>
              <w:spacing w:after="0" w:line="240" w:lineRule="auto"/>
            </w:pPr>
            <w:r>
              <w:rPr>
                <w:rFonts w:ascii="Consolas" w:hAnsi="Consolas"/>
                <w:sz w:val="18"/>
              </w:rPr>
              <w:t>41931150000</w:t>
            </w:r>
          </w:p>
        </w:tc>
        <w:tc>
          <w:tcPr>
            <w:tcW w:type="dxa" w:w="4320"/>
            <w:vAlign w:val="center"/>
            <w:shd w:val="clear" w:color="auto" w:fill="F3F6FA"/>
          </w:tcPr>
          <w:p>
            <w:pPr>
              <w:keepNext/>
              <w:spacing w:after="0" w:line="240" w:lineRule="auto"/>
            </w:pPr>
            <w:r>
              <w:rPr>
                <w:sz w:val="18"/>
              </w:rPr>
              <w:t>“Receita da Dívida Ativa do ICMS”</w:t>
            </w:r>
          </w:p>
        </w:tc>
        <w:tc>
          <w:tcPr>
            <w:tcW w:type="dxa" w:w="1080"/>
            <w:vAlign w:val="center"/>
            <w:shd w:val="clear" w:color="auto" w:fill="F3F6FA"/>
          </w:tcPr>
          <w:p>
            <w:pPr>
              <w:keepNext/>
              <w:spacing w:after="0" w:line="240" w:lineRule="auto"/>
            </w:pPr>
          </w:p>
        </w:tc>
      </w:tr>
      <w:tr>
        <w:trPr>
          <w:cantSplit w:val="true"/>
        </w:trPr>
        <w:tc>
          <w:tcPr>
            <w:tcW w:type="dxa" w:w="2520"/>
            <w:vAlign w:val="center"/>
          </w:tcPr>
          <w:p>
            <w:pPr>
              <w:keepNext/>
              <w:spacing w:after="0" w:line="240" w:lineRule="auto"/>
            </w:pPr>
            <w:r>
              <w:rPr>
                <w:sz w:val="18"/>
              </w:rPr>
              <w:t>5 · ICMS DA – Multas e Juros</w:t>
            </w:r>
          </w:p>
        </w:tc>
        <w:tc>
          <w:tcPr>
            <w:tcW w:type="dxa" w:w="1440"/>
            <w:vAlign w:val="center"/>
          </w:tcPr>
          <w:p>
            <w:pPr>
              <w:keepNext/>
              <w:spacing w:after="0" w:line="240" w:lineRule="auto"/>
            </w:pPr>
            <w:r>
              <w:rPr>
                <w:rFonts w:ascii="Consolas" w:hAnsi="Consolas"/>
                <w:sz w:val="18"/>
              </w:rPr>
              <w:t>41913150000</w:t>
            </w:r>
          </w:p>
        </w:tc>
        <w:tc>
          <w:tcPr>
            <w:tcW w:type="dxa" w:w="4320"/>
            <w:vAlign w:val="center"/>
          </w:tcPr>
          <w:p>
            <w:pPr>
              <w:keepNext/>
              <w:spacing w:after="0" w:line="240" w:lineRule="auto"/>
            </w:pPr>
            <w:r>
              <w:rPr>
                <w:sz w:val="18"/>
              </w:rPr>
              <w:t>“Multas e Juros de Mora da Dívida Ativa sobre o ICMS”</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6 · ICMS FECOP</w:t>
            </w:r>
          </w:p>
        </w:tc>
        <w:tc>
          <w:tcPr>
            <w:tcW w:type="dxa" w:w="1440"/>
            <w:vAlign w:val="center"/>
            <w:shd w:val="clear" w:color="auto" w:fill="F3F6FA"/>
          </w:tcPr>
          <w:p>
            <w:pPr>
              <w:keepNext/>
              <w:spacing w:after="0" w:line="240" w:lineRule="auto"/>
            </w:pPr>
            <w:r>
              <w:rPr>
                <w:rFonts w:ascii="Consolas" w:hAnsi="Consolas"/>
                <w:sz w:val="18"/>
              </w:rPr>
              <w:t>41113020200</w:t>
            </w:r>
          </w:p>
        </w:tc>
        <w:tc>
          <w:tcPr>
            <w:tcW w:type="dxa" w:w="4320"/>
            <w:vAlign w:val="center"/>
            <w:shd w:val="clear" w:color="auto" w:fill="F3F6FA"/>
          </w:tcPr>
          <w:p>
            <w:pPr>
              <w:keepNext/>
              <w:spacing w:after="0" w:line="240" w:lineRule="auto"/>
            </w:pPr>
            <w:r>
              <w:rPr>
                <w:sz w:val="18"/>
              </w:rPr>
              <w:t>“Adicional ICMS - Fundo Estadual de Combate à Pobreza (2% do ICMS - ADCT, art 82, §1º)”</w:t>
            </w:r>
          </w:p>
        </w:tc>
        <w:tc>
          <w:tcPr>
            <w:tcW w:type="dxa" w:w="1080"/>
            <w:vAlign w:val="center"/>
            <w:shd w:val="clear" w:color="auto" w:fill="F3F6FA"/>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tcPr>
          <w:p>
            <w:pPr>
              <w:spacing w:after="0" w:line="240" w:lineRule="auto"/>
            </w:pPr>
            <w:r>
              <w:rPr>
                <w:rFonts w:ascii="Consolas" w:hAnsi="Consolas"/>
                <w:sz w:val="18"/>
              </w:rPr>
              <w:t>49111302001</w:t>
            </w:r>
          </w:p>
        </w:tc>
        <w:tc>
          <w:tcPr>
            <w:tcW w:type="dxa" w:w="4320"/>
            <w:vAlign w:val="center"/>
          </w:tcPr>
          <w:p>
            <w:pPr>
              <w:spacing w:after="0" w:line="240" w:lineRule="auto"/>
            </w:pPr>
            <w:r>
              <w:rPr>
                <w:sz w:val="18"/>
              </w:rPr>
              <w:t xml:space="preserve">“Deduções da Receita do Adicional de até 2% do ICMS” — subtrair da Métrica 6, </w:t>
            </w:r>
            <w:r>
              <w:rPr>
                <w:b/>
                <w:sz w:val="18"/>
              </w:rPr>
              <w:t>sujeito ao limiar de 10%</w:t>
            </w:r>
          </w:p>
        </w:tc>
        <w:tc>
          <w:tcPr>
            <w:tcW w:type="dxa" w:w="1080"/>
            <w:vAlign w:val="center"/>
          </w:tcPr>
          <w:p>
            <w:pPr>
              <w:spacing w:after="0" w:line="240" w:lineRule="auto"/>
            </w:pPr>
            <w:r>
              <w:rPr>
                <w:b/>
                <w:color w:val="2E7D32"/>
                <w:sz w:val="17"/>
              </w:rPr>
              <w:t>nova</w:t>
            </w:r>
          </w:p>
        </w:tc>
      </w:tr>
    </w:tbl>
    <w:p>
      <w:pPr>
        <w:spacing w:after="40"/>
      </w:pPr>
    </w:p>
    <w:p>
      <w:r>
        <w:rPr>
          <w:color w:val="595959"/>
          <w:sz w:val="19"/>
        </w:rPr>
        <w:t xml:space="preserve">Em 2019–2020 a coluna </w:t>
      </w:r>
      <w:r>
        <w:rPr>
          <w:rFonts w:ascii="Consolas" w:hAnsi="Consolas"/>
          <w:color w:val="595959"/>
          <w:sz w:val="18"/>
        </w:rPr>
        <w:t>vlr_outras_deducoes</w:t>
      </w:r>
      <w:r>
        <w:rPr>
          <w:color w:val="595959"/>
          <w:sz w:val="19"/>
        </w:rPr>
        <w:t xml:space="preserve"> está zerada em todas as linhas de ICMS, então não há risco de desconto duplo. A dedução do FUNDEB (</w:t>
      </w:r>
      <w:r>
        <w:rPr>
          <w:rFonts w:ascii="Consolas" w:hAnsi="Consolas"/>
          <w:color w:val="595959"/>
          <w:sz w:val="18"/>
        </w:rPr>
        <w:t>49113020000</w:t>
      </w:r>
      <w:r>
        <w:rPr>
          <w:color w:val="595959"/>
          <w:sz w:val="19"/>
        </w:rPr>
        <w:t>) não é descontada (seção 1).</w:t>
      </w:r>
    </w:p>
    <w:p>
      <w:pPr>
        <w:pStyle w:val="Heading2"/>
        <w:keepNext/>
      </w:pPr>
      <w:r>
        <w:t>4.3 Anos 2021 e 2022</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2340"/>
        <w:gridCol w:w="2340"/>
        <w:gridCol w:w="2340"/>
        <w:gridCol w:w="2340"/>
      </w:tblGrid>
      <w:tr>
        <w:trPr>
          <w:tblHeader w:val="true"/>
        </w:trPr>
        <w:tc>
          <w:tcPr>
            <w:tcW w:type="dxa" w:w="2520"/>
            <w:shd w:val="clear" w:color="auto" w:fill="1F3864"/>
            <w:vAlign w:val="center"/>
          </w:tcPr>
          <w:p>
            <w:pPr>
              <w:keepNext/>
              <w:spacing w:after="0"/>
            </w:pPr>
            <w:r>
              <w:rPr>
                <w:b/>
                <w:color w:val="FFFFFF"/>
                <w:sz w:val="18"/>
              </w:rPr>
              <w:t>Métrica (coluna da planilha)</w:t>
            </w:r>
          </w:p>
        </w:tc>
        <w:tc>
          <w:tcPr>
            <w:tcW w:type="dxa" w:w="1440"/>
            <w:shd w:val="clear" w:color="auto" w:fill="1F3864"/>
            <w:vAlign w:val="center"/>
          </w:tcPr>
          <w:p>
            <w:pPr>
              <w:keepNext/>
              <w:spacing w:after="0"/>
            </w:pPr>
            <w:r>
              <w:rPr>
                <w:b/>
                <w:color w:val="FFFFFF"/>
                <w:sz w:val="18"/>
              </w:rPr>
              <w:t>Conta</w:t>
            </w:r>
          </w:p>
        </w:tc>
        <w:tc>
          <w:tcPr>
            <w:tcW w:type="dxa" w:w="4320"/>
            <w:shd w:val="clear" w:color="auto" w:fill="1F3864"/>
            <w:vAlign w:val="center"/>
          </w:tcPr>
          <w:p>
            <w:pPr>
              <w:keepNext/>
              <w:spacing w:after="0"/>
            </w:pPr>
            <w:r>
              <w:rPr>
                <w:b/>
                <w:color w:val="FFFFFF"/>
                <w:sz w:val="18"/>
              </w:rPr>
              <w:t>Descrição no SIOPE</w:t>
            </w:r>
          </w:p>
        </w:tc>
        <w:tc>
          <w:tcPr>
            <w:tcW w:type="dxa" w:w="1080"/>
            <w:shd w:val="clear" w:color="auto" w:fill="1F3864"/>
            <w:vAlign w:val="center"/>
          </w:tcPr>
          <w:p>
            <w:pPr>
              <w:keepNext/>
              <w:spacing w:after="0"/>
            </w:pPr>
            <w:r>
              <w:rPr>
                <w:b/>
                <w:color w:val="FFFFFF"/>
                <w:sz w:val="18"/>
              </w:rPr>
              <w:t>Alteração</w:t>
            </w:r>
          </w:p>
        </w:tc>
      </w:tr>
      <w:tr>
        <w:trPr>
          <w:cantSplit w:val="true"/>
        </w:trPr>
        <w:tc>
          <w:tcPr>
            <w:tcW w:type="dxa" w:w="2520"/>
            <w:vAlign w:val="center"/>
          </w:tcPr>
          <w:p>
            <w:pPr>
              <w:keepNext/>
              <w:spacing w:after="0" w:line="240" w:lineRule="auto"/>
            </w:pPr>
            <w:r>
              <w:rPr>
                <w:sz w:val="18"/>
              </w:rPr>
              <w:t>2 · ICMS Principal</w:t>
            </w:r>
          </w:p>
        </w:tc>
        <w:tc>
          <w:tcPr>
            <w:tcW w:type="dxa" w:w="1440"/>
            <w:vAlign w:val="center"/>
          </w:tcPr>
          <w:p>
            <w:pPr>
              <w:keepNext/>
              <w:spacing w:after="0" w:line="240" w:lineRule="auto"/>
            </w:pPr>
            <w:r>
              <w:rPr>
                <w:rFonts w:ascii="Consolas" w:hAnsi="Consolas"/>
                <w:sz w:val="18"/>
              </w:rPr>
              <w:t>11180211</w:t>
            </w:r>
          </w:p>
        </w:tc>
        <w:tc>
          <w:tcPr>
            <w:tcW w:type="dxa" w:w="4320"/>
            <w:vAlign w:val="center"/>
          </w:tcPr>
          <w:p>
            <w:pPr>
              <w:keepNext/>
              <w:spacing w:after="0" w:line="240" w:lineRule="auto"/>
            </w:pPr>
            <w:r>
              <w:rPr>
                <w:sz w:val="18"/>
              </w:rPr>
              <w:t>“ICMS – Principal”</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3 · ICMS Multas e Juros Mora</w:t>
            </w:r>
          </w:p>
        </w:tc>
        <w:tc>
          <w:tcPr>
            <w:tcW w:type="dxa" w:w="1440"/>
            <w:vAlign w:val="center"/>
            <w:shd w:val="clear" w:color="auto" w:fill="F3F6FA"/>
          </w:tcPr>
          <w:p>
            <w:pPr>
              <w:keepNext/>
              <w:spacing w:after="0" w:line="240" w:lineRule="auto"/>
            </w:pPr>
            <w:r>
              <w:rPr>
                <w:rFonts w:ascii="Consolas" w:hAnsi="Consolas"/>
                <w:sz w:val="18"/>
              </w:rPr>
              <w:t>11180212</w:t>
            </w:r>
          </w:p>
        </w:tc>
        <w:tc>
          <w:tcPr>
            <w:tcW w:type="dxa" w:w="4320"/>
            <w:vAlign w:val="center"/>
            <w:shd w:val="clear" w:color="auto" w:fill="F3F6FA"/>
          </w:tcPr>
          <w:p>
            <w:pPr>
              <w:keepNext/>
              <w:spacing w:after="0" w:line="240" w:lineRule="auto"/>
            </w:pPr>
            <w:r>
              <w:rPr>
                <w:sz w:val="18"/>
              </w:rPr>
              <w:t>“ICMS - Multas e Juros de Mora”</w:t>
            </w:r>
          </w:p>
        </w:tc>
        <w:tc>
          <w:tcPr>
            <w:tcW w:type="dxa" w:w="1080"/>
            <w:vAlign w:val="center"/>
            <w:shd w:val="clear" w:color="auto" w:fill="F3F6FA"/>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tcPr>
          <w:p>
            <w:pPr>
              <w:keepNext/>
              <w:spacing w:after="0" w:line="240" w:lineRule="auto"/>
            </w:pPr>
            <w:r>
              <w:rPr>
                <w:rFonts w:ascii="Consolas" w:hAnsi="Consolas"/>
                <w:sz w:val="18"/>
              </w:rPr>
              <w:t>11180215</w:t>
            </w:r>
          </w:p>
        </w:tc>
        <w:tc>
          <w:tcPr>
            <w:tcW w:type="dxa" w:w="4320"/>
            <w:vAlign w:val="center"/>
          </w:tcPr>
          <w:p>
            <w:pPr>
              <w:keepNext/>
              <w:spacing w:after="0" w:line="240" w:lineRule="auto"/>
            </w:pPr>
            <w:r>
              <w:rPr>
                <w:sz w:val="18"/>
              </w:rPr>
              <w:t>“ICMS – Multas”</w:t>
            </w:r>
          </w:p>
        </w:tc>
        <w:tc>
          <w:tcPr>
            <w:tcW w:type="dxa" w:w="1080"/>
            <w:vAlign w:val="center"/>
          </w:tcPr>
          <w:p>
            <w:pPr>
              <w:keepNext/>
              <w:spacing w:after="0" w:line="240" w:lineRule="auto"/>
            </w:pPr>
            <w:r>
              <w:rPr>
                <w:b/>
                <w:color w:val="C55A11"/>
                <w:sz w:val="17"/>
              </w:rPr>
              <w:t>movida</w:t>
            </w:r>
            <w:r>
              <w:rPr>
                <w:color w:val="595959"/>
                <w:sz w:val="16"/>
              </w:rPr>
              <w:t xml:space="preserve"> (estava na Métr. 5)</w:t>
            </w: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11180216</w:t>
            </w:r>
          </w:p>
        </w:tc>
        <w:tc>
          <w:tcPr>
            <w:tcW w:type="dxa" w:w="4320"/>
            <w:vAlign w:val="center"/>
            <w:shd w:val="clear" w:color="auto" w:fill="F3F6FA"/>
          </w:tcPr>
          <w:p>
            <w:pPr>
              <w:keepNext/>
              <w:spacing w:after="0" w:line="240" w:lineRule="auto"/>
            </w:pPr>
            <w:r>
              <w:rPr>
                <w:sz w:val="18"/>
              </w:rPr>
              <w:t>“ICMS – Juros de Mora”</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keepNext/>
              <w:spacing w:after="0" w:line="240" w:lineRule="auto"/>
            </w:pPr>
            <w:r>
              <w:rPr>
                <w:sz w:val="18"/>
              </w:rPr>
              <w:t>4 · ICMS DA – Principal</w:t>
            </w:r>
          </w:p>
        </w:tc>
        <w:tc>
          <w:tcPr>
            <w:tcW w:type="dxa" w:w="1440"/>
            <w:vAlign w:val="center"/>
          </w:tcPr>
          <w:p>
            <w:pPr>
              <w:keepNext/>
              <w:spacing w:after="0" w:line="240" w:lineRule="auto"/>
            </w:pPr>
            <w:r>
              <w:rPr>
                <w:rFonts w:ascii="Consolas" w:hAnsi="Consolas"/>
                <w:sz w:val="18"/>
              </w:rPr>
              <w:t>11180213</w:t>
            </w:r>
          </w:p>
        </w:tc>
        <w:tc>
          <w:tcPr>
            <w:tcW w:type="dxa" w:w="4320"/>
            <w:vAlign w:val="center"/>
          </w:tcPr>
          <w:p>
            <w:pPr>
              <w:keepNext/>
              <w:spacing w:after="0" w:line="240" w:lineRule="auto"/>
            </w:pPr>
            <w:r>
              <w:rPr>
                <w:sz w:val="18"/>
              </w:rPr>
              <w:t>“ICMS - Dívida Ativa”</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5 · ICMS DA – Multas e Juros</w:t>
            </w:r>
          </w:p>
        </w:tc>
        <w:tc>
          <w:tcPr>
            <w:tcW w:type="dxa" w:w="1440"/>
            <w:vAlign w:val="center"/>
            <w:shd w:val="clear" w:color="auto" w:fill="F3F6FA"/>
          </w:tcPr>
          <w:p>
            <w:pPr>
              <w:keepNext/>
              <w:spacing w:after="0" w:line="240" w:lineRule="auto"/>
            </w:pPr>
            <w:r>
              <w:rPr>
                <w:rFonts w:ascii="Consolas" w:hAnsi="Consolas"/>
                <w:sz w:val="18"/>
              </w:rPr>
              <w:t>11180214</w:t>
            </w:r>
          </w:p>
        </w:tc>
        <w:tc>
          <w:tcPr>
            <w:tcW w:type="dxa" w:w="4320"/>
            <w:vAlign w:val="center"/>
            <w:shd w:val="clear" w:color="auto" w:fill="F3F6FA"/>
          </w:tcPr>
          <w:p>
            <w:pPr>
              <w:keepNext/>
              <w:spacing w:after="0" w:line="240" w:lineRule="auto"/>
            </w:pPr>
            <w:r>
              <w:rPr>
                <w:sz w:val="18"/>
              </w:rPr>
              <w:t>“ICMS – Dívida Ativa – Multas e Juros de Mora da Dívida Ativa” (prevista pela estrutura; nenhum Estado a utiliza na base atual)</w:t>
            </w:r>
          </w:p>
        </w:tc>
        <w:tc>
          <w:tcPr>
            <w:tcW w:type="dxa" w:w="1080"/>
            <w:vAlign w:val="center"/>
            <w:shd w:val="clear" w:color="auto" w:fill="F3F6FA"/>
          </w:tcPr>
          <w:p>
            <w:pPr>
              <w:keepNext/>
              <w:spacing w:after="0" w:line="240" w:lineRule="auto"/>
            </w:pPr>
            <w:r>
              <w:rPr>
                <w:b/>
                <w:color w:val="2E7D32"/>
                <w:sz w:val="17"/>
              </w:rPr>
              <w:t>nova</w:t>
            </w:r>
            <w:r>
              <w:br/>
            </w:r>
            <w:r>
              <w:rPr>
                <w:b/>
                <w:color w:val="595959"/>
                <w:sz w:val="17"/>
              </w:rPr>
              <w:t>sem ocorrência</w:t>
            </w:r>
          </w:p>
        </w:tc>
      </w:tr>
      <w:tr>
        <w:trPr>
          <w:cantSplit w:val="true"/>
        </w:trPr>
        <w:tc>
          <w:tcPr>
            <w:tcW w:type="dxa" w:w="2520"/>
            <w:vMerge/>
            <w:vAlign w:val="center"/>
          </w:tcPr>
          <w:p>
            <w:pPr>
              <w:spacing w:after="0" w:line="240" w:lineRule="auto"/>
            </w:pPr>
          </w:p>
        </w:tc>
        <w:tc>
          <w:tcPr>
            <w:tcW w:type="dxa" w:w="1440"/>
            <w:vAlign w:val="center"/>
          </w:tcPr>
          <w:p>
            <w:pPr>
              <w:keepNext/>
              <w:spacing w:after="0" w:line="240" w:lineRule="auto"/>
            </w:pPr>
            <w:r>
              <w:rPr>
                <w:rFonts w:ascii="Consolas" w:hAnsi="Consolas"/>
                <w:sz w:val="18"/>
              </w:rPr>
              <w:t>11180217</w:t>
            </w:r>
          </w:p>
        </w:tc>
        <w:tc>
          <w:tcPr>
            <w:tcW w:type="dxa" w:w="4320"/>
            <w:vAlign w:val="center"/>
          </w:tcPr>
          <w:p>
            <w:pPr>
              <w:keepNext/>
              <w:spacing w:after="0" w:line="240" w:lineRule="auto"/>
            </w:pPr>
            <w:r>
              <w:rPr>
                <w:sz w:val="18"/>
              </w:rPr>
              <w:t>“ICMS – Dívida Ativa – Multas da Dívida Ativa”</w:t>
            </w:r>
          </w:p>
        </w:tc>
        <w:tc>
          <w:tcPr>
            <w:tcW w:type="dxa" w:w="1080"/>
            <w:vAlign w:val="center"/>
          </w:tcPr>
          <w:p>
            <w:pPr>
              <w:keepNext/>
              <w:spacing w:after="0" w:line="240" w:lineRule="auto"/>
            </w:pPr>
            <w:r>
              <w:rPr>
                <w:b/>
                <w:color w:val="2E7D32"/>
                <w:sz w:val="17"/>
              </w:rPr>
              <w:t>nova</w:t>
            </w: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11180218</w:t>
            </w:r>
          </w:p>
        </w:tc>
        <w:tc>
          <w:tcPr>
            <w:tcW w:type="dxa" w:w="4320"/>
            <w:vAlign w:val="center"/>
            <w:shd w:val="clear" w:color="auto" w:fill="F3F6FA"/>
          </w:tcPr>
          <w:p>
            <w:pPr>
              <w:keepNext/>
              <w:spacing w:after="0" w:line="240" w:lineRule="auto"/>
            </w:pPr>
            <w:r>
              <w:rPr>
                <w:sz w:val="18"/>
              </w:rPr>
              <w:t>“ICMS – Juros de Mora da Dívida Ativa”</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spacing w:after="0" w:line="240" w:lineRule="auto"/>
            </w:pPr>
            <w:r>
              <w:rPr>
                <w:sz w:val="18"/>
              </w:rPr>
              <w:t>6 · ICMS FECOP</w:t>
            </w:r>
          </w:p>
        </w:tc>
        <w:tc>
          <w:tcPr>
            <w:tcW w:type="dxa" w:w="1440"/>
            <w:vAlign w:val="center"/>
          </w:tcPr>
          <w:p>
            <w:pPr>
              <w:spacing w:after="0" w:line="240" w:lineRule="auto"/>
            </w:pPr>
            <w:r>
              <w:rPr>
                <w:rFonts w:ascii="Consolas" w:hAnsi="Consolas"/>
                <w:sz w:val="18"/>
              </w:rPr>
              <w:t>11180220</w:t>
            </w:r>
          </w:p>
        </w:tc>
        <w:tc>
          <w:tcPr>
            <w:tcW w:type="dxa" w:w="4320"/>
            <w:vAlign w:val="center"/>
          </w:tcPr>
          <w:p>
            <w:pPr>
              <w:spacing w:after="0" w:line="240" w:lineRule="auto"/>
            </w:pPr>
            <w:r>
              <w:rPr>
                <w:sz w:val="18"/>
              </w:rPr>
              <w:t>“Adicional Icms - Fundo Estadual de Combate à Pobreza” (agregadora — já inclui 11180221 a 11180228; não somá-las)</w:t>
            </w:r>
          </w:p>
        </w:tc>
        <w:tc>
          <w:tcPr>
            <w:tcW w:type="dxa" w:w="1080"/>
            <w:vAlign w:val="center"/>
          </w:tcPr>
          <w:p>
            <w:pPr>
              <w:spacing w:after="0" w:line="240" w:lineRule="auto"/>
            </w:pPr>
          </w:p>
        </w:tc>
      </w:tr>
    </w:tbl>
    <w:p>
      <w:pPr>
        <w:spacing w:after="40"/>
      </w:pPr>
    </w:p>
    <w:tbl>
      <w:tblPr>
        <w:tblW w:type="auto" w:w="0"/>
        <w:jc w:val="center"/>
        <w:tblLook w:firstColumn="1" w:firstRow="1" w:lastColumn="0" w:lastRow="0" w:noHBand="0" w:noVBand="1" w:val="04A0"/>
        <w:tblBorders>
          <w:left w:val="single" w:sz="24" w:space="0" w:color="C55A11"/>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FFF4E5"/>
          </w:tcPr>
          <w:p>
            <w:pPr>
              <w:spacing w:after="40"/>
            </w:pPr>
            <w:r>
              <w:rPr>
                <w:b/>
                <w:color w:val="C55A11"/>
                <w:sz w:val="20"/>
              </w:rPr>
              <w:t>Correção da conta 11180215</w:t>
            </w:r>
          </w:p>
          <w:p>
            <w:pPr>
              <w:spacing w:after="40"/>
            </w:pPr>
            <w:r>
              <w:rPr>
                <w:sz w:val="19"/>
              </w:rPr>
              <w:t xml:space="preserve">A versão anterior colocava a </w:t>
            </w:r>
            <w:r>
              <w:rPr>
                <w:rFonts w:ascii="Consolas" w:hAnsi="Consolas"/>
                <w:sz w:val="18"/>
              </w:rPr>
              <w:t>11180215</w:t>
            </w:r>
            <w:r>
              <w:rPr>
                <w:sz w:val="19"/>
              </w:rPr>
              <w:t xml:space="preserve"> na Métrica 5 (Dívida Ativa – Multas e Juros). No SIOPE ela é </w:t>
            </w:r>
            <w:r>
              <w:rPr>
                <w:b/>
                <w:sz w:val="19"/>
              </w:rPr>
              <w:t>“Multas”</w:t>
            </w:r>
            <w:r>
              <w:rPr>
                <w:sz w:val="19"/>
              </w:rPr>
              <w:t xml:space="preserve"> comum, sem relação com Dívida Ativa (último dígito 5, seção 1.2). Passou para a Métrica 3. A conta da Dívida Ativa correspondente é a </w:t>
            </w:r>
            <w:r>
              <w:rPr>
                <w:rFonts w:ascii="Consolas" w:hAnsi="Consolas"/>
                <w:sz w:val="18"/>
              </w:rPr>
              <w:t>11180214</w:t>
            </w:r>
            <w:r>
              <w:rPr>
                <w:sz w:val="19"/>
              </w:rPr>
              <w:t>.</w:t>
            </w:r>
          </w:p>
        </w:tc>
      </w:tr>
    </w:tbl>
    <w:p>
      <w:pPr>
        <w:spacing w:after="40"/>
      </w:pPr>
    </w:p>
    <w:p>
      <w:pPr>
        <w:pStyle w:val="Heading2"/>
        <w:keepNext/>
      </w:pPr>
      <w:r>
        <w:t>4.4 Anos 2023 a 2025</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2340"/>
        <w:gridCol w:w="2340"/>
        <w:gridCol w:w="2340"/>
        <w:gridCol w:w="2340"/>
      </w:tblGrid>
      <w:tr>
        <w:trPr>
          <w:tblHeader w:val="true"/>
        </w:trPr>
        <w:tc>
          <w:tcPr>
            <w:tcW w:type="dxa" w:w="2520"/>
            <w:shd w:val="clear" w:color="auto" w:fill="1F3864"/>
            <w:vAlign w:val="center"/>
          </w:tcPr>
          <w:p>
            <w:pPr>
              <w:keepNext/>
              <w:spacing w:after="0"/>
            </w:pPr>
            <w:r>
              <w:rPr>
                <w:b/>
                <w:color w:val="FFFFFF"/>
                <w:sz w:val="18"/>
              </w:rPr>
              <w:t>Métrica (coluna da planilha)</w:t>
            </w:r>
          </w:p>
        </w:tc>
        <w:tc>
          <w:tcPr>
            <w:tcW w:type="dxa" w:w="1440"/>
            <w:shd w:val="clear" w:color="auto" w:fill="1F3864"/>
            <w:vAlign w:val="center"/>
          </w:tcPr>
          <w:p>
            <w:pPr>
              <w:keepNext/>
              <w:spacing w:after="0"/>
            </w:pPr>
            <w:r>
              <w:rPr>
                <w:b/>
                <w:color w:val="FFFFFF"/>
                <w:sz w:val="18"/>
              </w:rPr>
              <w:t>Conta</w:t>
            </w:r>
          </w:p>
        </w:tc>
        <w:tc>
          <w:tcPr>
            <w:tcW w:type="dxa" w:w="4320"/>
            <w:shd w:val="clear" w:color="auto" w:fill="1F3864"/>
            <w:vAlign w:val="center"/>
          </w:tcPr>
          <w:p>
            <w:pPr>
              <w:keepNext/>
              <w:spacing w:after="0"/>
            </w:pPr>
            <w:r>
              <w:rPr>
                <w:b/>
                <w:color w:val="FFFFFF"/>
                <w:sz w:val="18"/>
              </w:rPr>
              <w:t>Descrição no SIOPE</w:t>
            </w:r>
          </w:p>
        </w:tc>
        <w:tc>
          <w:tcPr>
            <w:tcW w:type="dxa" w:w="1080"/>
            <w:shd w:val="clear" w:color="auto" w:fill="1F3864"/>
            <w:vAlign w:val="center"/>
          </w:tcPr>
          <w:p>
            <w:pPr>
              <w:keepNext/>
              <w:spacing w:after="0"/>
            </w:pPr>
            <w:r>
              <w:rPr>
                <w:b/>
                <w:color w:val="FFFFFF"/>
                <w:sz w:val="18"/>
              </w:rPr>
              <w:t>Alteração</w:t>
            </w:r>
          </w:p>
        </w:tc>
      </w:tr>
      <w:tr>
        <w:trPr>
          <w:cantSplit w:val="true"/>
        </w:trPr>
        <w:tc>
          <w:tcPr>
            <w:tcW w:type="dxa" w:w="2520"/>
            <w:vAlign w:val="center"/>
          </w:tcPr>
          <w:p>
            <w:pPr>
              <w:keepNext/>
              <w:spacing w:after="0" w:line="240" w:lineRule="auto"/>
            </w:pPr>
            <w:r>
              <w:rPr>
                <w:sz w:val="18"/>
              </w:rPr>
              <w:t>2 · ICMS Principal</w:t>
            </w:r>
          </w:p>
        </w:tc>
        <w:tc>
          <w:tcPr>
            <w:tcW w:type="dxa" w:w="1440"/>
            <w:vAlign w:val="center"/>
          </w:tcPr>
          <w:p>
            <w:pPr>
              <w:keepNext/>
              <w:spacing w:after="0" w:line="240" w:lineRule="auto"/>
            </w:pPr>
            <w:r>
              <w:rPr>
                <w:rFonts w:ascii="Consolas" w:hAnsi="Consolas"/>
                <w:sz w:val="18"/>
              </w:rPr>
              <w:t>11145011</w:t>
            </w:r>
          </w:p>
        </w:tc>
        <w:tc>
          <w:tcPr>
            <w:tcW w:type="dxa" w:w="4320"/>
            <w:vAlign w:val="center"/>
          </w:tcPr>
          <w:p>
            <w:pPr>
              <w:keepNext/>
              <w:spacing w:after="0" w:line="240" w:lineRule="auto"/>
            </w:pPr>
            <w:r>
              <w:rPr>
                <w:sz w:val="18"/>
              </w:rPr>
              <w:t>“ICMS – Principal”</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3 · ICMS Multas e Juros Mora</w:t>
            </w:r>
          </w:p>
        </w:tc>
        <w:tc>
          <w:tcPr>
            <w:tcW w:type="dxa" w:w="1440"/>
            <w:vAlign w:val="center"/>
            <w:shd w:val="clear" w:color="auto" w:fill="F3F6FA"/>
          </w:tcPr>
          <w:p>
            <w:pPr>
              <w:keepNext/>
              <w:spacing w:after="0" w:line="240" w:lineRule="auto"/>
            </w:pPr>
            <w:r>
              <w:rPr>
                <w:rFonts w:ascii="Consolas" w:hAnsi="Consolas"/>
                <w:sz w:val="18"/>
              </w:rPr>
              <w:t>11145012</w:t>
            </w:r>
          </w:p>
        </w:tc>
        <w:tc>
          <w:tcPr>
            <w:tcW w:type="dxa" w:w="4320"/>
            <w:vAlign w:val="center"/>
            <w:shd w:val="clear" w:color="auto" w:fill="F3F6FA"/>
          </w:tcPr>
          <w:p>
            <w:pPr>
              <w:keepNext/>
              <w:spacing w:after="0" w:line="240" w:lineRule="auto"/>
            </w:pPr>
            <w:r>
              <w:rPr>
                <w:sz w:val="18"/>
              </w:rPr>
              <w:t>“ICMS - Multas e Juros de Mora”</w:t>
            </w:r>
          </w:p>
        </w:tc>
        <w:tc>
          <w:tcPr>
            <w:tcW w:type="dxa" w:w="1080"/>
            <w:vAlign w:val="center"/>
            <w:shd w:val="clear" w:color="auto" w:fill="F3F6FA"/>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tcPr>
          <w:p>
            <w:pPr>
              <w:keepNext/>
              <w:spacing w:after="0" w:line="240" w:lineRule="auto"/>
            </w:pPr>
            <w:r>
              <w:rPr>
                <w:rFonts w:ascii="Consolas" w:hAnsi="Consolas"/>
                <w:sz w:val="18"/>
              </w:rPr>
              <w:t>11145015</w:t>
            </w:r>
          </w:p>
        </w:tc>
        <w:tc>
          <w:tcPr>
            <w:tcW w:type="dxa" w:w="4320"/>
            <w:vAlign w:val="center"/>
          </w:tcPr>
          <w:p>
            <w:pPr>
              <w:keepNext/>
              <w:spacing w:after="0" w:line="240" w:lineRule="auto"/>
            </w:pPr>
            <w:r>
              <w:rPr>
                <w:sz w:val="18"/>
              </w:rPr>
              <w:t>“ICMS – Multas”</w:t>
            </w:r>
          </w:p>
        </w:tc>
        <w:tc>
          <w:tcPr>
            <w:tcW w:type="dxa" w:w="1080"/>
            <w:vAlign w:val="center"/>
          </w:tcPr>
          <w:p>
            <w:pPr>
              <w:keepNext/>
              <w:spacing w:after="0" w:line="240" w:lineRule="auto"/>
            </w:pPr>
            <w:r>
              <w:rPr>
                <w:b/>
                <w:color w:val="2E7D32"/>
                <w:sz w:val="17"/>
              </w:rPr>
              <w:t>nova</w:t>
            </w: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11145016</w:t>
            </w:r>
          </w:p>
        </w:tc>
        <w:tc>
          <w:tcPr>
            <w:tcW w:type="dxa" w:w="4320"/>
            <w:vAlign w:val="center"/>
            <w:shd w:val="clear" w:color="auto" w:fill="F3F6FA"/>
          </w:tcPr>
          <w:p>
            <w:pPr>
              <w:keepNext/>
              <w:spacing w:after="0" w:line="240" w:lineRule="auto"/>
            </w:pPr>
            <w:r>
              <w:rPr>
                <w:sz w:val="18"/>
              </w:rPr>
              <w:t>“ICMS – Juros de Mora”</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keepNext/>
              <w:spacing w:after="0" w:line="240" w:lineRule="auto"/>
            </w:pPr>
            <w:r>
              <w:rPr>
                <w:sz w:val="18"/>
              </w:rPr>
              <w:t>4 · ICMS DA – Principal</w:t>
            </w:r>
          </w:p>
        </w:tc>
        <w:tc>
          <w:tcPr>
            <w:tcW w:type="dxa" w:w="1440"/>
            <w:vAlign w:val="center"/>
          </w:tcPr>
          <w:p>
            <w:pPr>
              <w:keepNext/>
              <w:spacing w:after="0" w:line="240" w:lineRule="auto"/>
            </w:pPr>
            <w:r>
              <w:rPr>
                <w:rFonts w:ascii="Consolas" w:hAnsi="Consolas"/>
                <w:sz w:val="18"/>
              </w:rPr>
              <w:t>11145013</w:t>
            </w:r>
          </w:p>
        </w:tc>
        <w:tc>
          <w:tcPr>
            <w:tcW w:type="dxa" w:w="4320"/>
            <w:vAlign w:val="center"/>
          </w:tcPr>
          <w:p>
            <w:pPr>
              <w:keepNext/>
              <w:spacing w:after="0" w:line="240" w:lineRule="auto"/>
            </w:pPr>
            <w:r>
              <w:rPr>
                <w:sz w:val="18"/>
              </w:rPr>
              <w:t>“ICMS - Dívida Ativa”</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5 · ICMS DA – Multas e Juros</w:t>
            </w:r>
          </w:p>
        </w:tc>
        <w:tc>
          <w:tcPr>
            <w:tcW w:type="dxa" w:w="1440"/>
            <w:vAlign w:val="center"/>
            <w:shd w:val="clear" w:color="auto" w:fill="F3F6FA"/>
          </w:tcPr>
          <w:p>
            <w:pPr>
              <w:keepNext/>
              <w:spacing w:after="0" w:line="240" w:lineRule="auto"/>
            </w:pPr>
            <w:r>
              <w:rPr>
                <w:rFonts w:ascii="Consolas" w:hAnsi="Consolas"/>
                <w:sz w:val="18"/>
              </w:rPr>
              <w:t>11145014</w:t>
            </w:r>
          </w:p>
        </w:tc>
        <w:tc>
          <w:tcPr>
            <w:tcW w:type="dxa" w:w="4320"/>
            <w:vAlign w:val="center"/>
            <w:shd w:val="clear" w:color="auto" w:fill="F3F6FA"/>
          </w:tcPr>
          <w:p>
            <w:pPr>
              <w:keepNext/>
              <w:spacing w:after="0" w:line="240" w:lineRule="auto"/>
            </w:pPr>
            <w:r>
              <w:rPr>
                <w:sz w:val="18"/>
              </w:rPr>
              <w:t>“ICMS – Multas e Juros de Mora da Dívida Ativa”</w:t>
            </w:r>
          </w:p>
        </w:tc>
        <w:tc>
          <w:tcPr>
            <w:tcW w:type="dxa" w:w="1080"/>
            <w:vAlign w:val="center"/>
            <w:shd w:val="clear" w:color="auto" w:fill="F3F6FA"/>
          </w:tcPr>
          <w:p>
            <w:pPr>
              <w:keepNext/>
              <w:spacing w:after="0" w:line="240" w:lineRule="auto"/>
            </w:pPr>
            <w:r>
              <w:rPr>
                <w:b/>
                <w:color w:val="2E75B6"/>
                <w:sz w:val="17"/>
              </w:rPr>
              <w:t>corrigida</w:t>
            </w:r>
            <w:r>
              <w:rPr>
                <w:color w:val="595959"/>
                <w:sz w:val="16"/>
              </w:rPr>
              <w:t xml:space="preserve"> (antes: “– Multas”)</w:t>
            </w:r>
          </w:p>
        </w:tc>
      </w:tr>
      <w:tr>
        <w:trPr>
          <w:cantSplit w:val="true"/>
        </w:trPr>
        <w:tc>
          <w:tcPr>
            <w:tcW w:type="dxa" w:w="2520"/>
            <w:vMerge/>
            <w:vAlign w:val="center"/>
          </w:tcPr>
          <w:p>
            <w:pPr>
              <w:spacing w:after="0" w:line="240" w:lineRule="auto"/>
            </w:pPr>
          </w:p>
        </w:tc>
        <w:tc>
          <w:tcPr>
            <w:tcW w:type="dxa" w:w="1440"/>
            <w:vAlign w:val="center"/>
          </w:tcPr>
          <w:p>
            <w:pPr>
              <w:keepNext/>
              <w:spacing w:after="0" w:line="240" w:lineRule="auto"/>
            </w:pPr>
            <w:r>
              <w:rPr>
                <w:rFonts w:ascii="Consolas" w:hAnsi="Consolas"/>
                <w:sz w:val="18"/>
              </w:rPr>
              <w:t>11145017</w:t>
            </w:r>
          </w:p>
        </w:tc>
        <w:tc>
          <w:tcPr>
            <w:tcW w:type="dxa" w:w="4320"/>
            <w:vAlign w:val="center"/>
          </w:tcPr>
          <w:p>
            <w:pPr>
              <w:keepNext/>
              <w:spacing w:after="0" w:line="240" w:lineRule="auto"/>
            </w:pPr>
            <w:r>
              <w:rPr>
                <w:sz w:val="18"/>
              </w:rPr>
              <w:t>“ICMS – Multas da Dívida Ativa”</w:t>
            </w:r>
          </w:p>
        </w:tc>
        <w:tc>
          <w:tcPr>
            <w:tcW w:type="dxa" w:w="1080"/>
            <w:vAlign w:val="center"/>
          </w:tcPr>
          <w:p>
            <w:pPr>
              <w:keepNext/>
              <w:spacing w:after="0" w:line="240" w:lineRule="auto"/>
            </w:pPr>
            <w:r>
              <w:rPr>
                <w:b/>
                <w:color w:val="2E7D32"/>
                <w:sz w:val="17"/>
              </w:rPr>
              <w:t>nova</w:t>
            </w: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11145018</w:t>
            </w:r>
          </w:p>
        </w:tc>
        <w:tc>
          <w:tcPr>
            <w:tcW w:type="dxa" w:w="4320"/>
            <w:vAlign w:val="center"/>
            <w:shd w:val="clear" w:color="auto" w:fill="F3F6FA"/>
          </w:tcPr>
          <w:p>
            <w:pPr>
              <w:keepNext/>
              <w:spacing w:after="0" w:line="240" w:lineRule="auto"/>
            </w:pPr>
            <w:r>
              <w:rPr>
                <w:sz w:val="18"/>
              </w:rPr>
              <w:t>“ICMS – Juros de Mora da Dívida Ativa”</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spacing w:after="0" w:line="240" w:lineRule="auto"/>
            </w:pPr>
            <w:r>
              <w:rPr>
                <w:sz w:val="18"/>
              </w:rPr>
              <w:t>6 · ICMS FECOP</w:t>
            </w:r>
          </w:p>
        </w:tc>
        <w:tc>
          <w:tcPr>
            <w:tcW w:type="dxa" w:w="1440"/>
            <w:vAlign w:val="center"/>
          </w:tcPr>
          <w:p>
            <w:pPr>
              <w:spacing w:after="0" w:line="240" w:lineRule="auto"/>
            </w:pPr>
            <w:r>
              <w:rPr>
                <w:rFonts w:ascii="Consolas" w:hAnsi="Consolas"/>
                <w:sz w:val="18"/>
              </w:rPr>
              <w:t>11145020</w:t>
            </w:r>
          </w:p>
        </w:tc>
        <w:tc>
          <w:tcPr>
            <w:tcW w:type="dxa" w:w="4320"/>
            <w:vAlign w:val="center"/>
          </w:tcPr>
          <w:p>
            <w:pPr>
              <w:spacing w:after="0" w:line="240" w:lineRule="auto"/>
            </w:pPr>
            <w:r>
              <w:rPr>
                <w:sz w:val="18"/>
              </w:rPr>
              <w:t>“Adicional ICMS - Fundo Estadual de Combate à Pobreza” (agregadora — já inclui 11145021 a 11145028; não somá-las)</w:t>
            </w:r>
          </w:p>
        </w:tc>
        <w:tc>
          <w:tcPr>
            <w:tcW w:type="dxa" w:w="1080"/>
            <w:vAlign w:val="center"/>
          </w:tcPr>
          <w:p>
            <w:pPr>
              <w:spacing w:after="0" w:line="240" w:lineRule="auto"/>
            </w:pPr>
          </w:p>
        </w:tc>
      </w:tr>
    </w:tbl>
    <w:p>
      <w:pPr>
        <w:spacing w:after="40"/>
      </w:pPr>
    </w:p>
    <w:tbl>
      <w:tblPr>
        <w:tblW w:type="auto" w:w="0"/>
        <w:jc w:val="center"/>
        <w:tblLook w:firstColumn="1" w:firstRow="1" w:lastColumn="0" w:lastRow="0" w:noHBand="0" w:noVBand="1" w:val="04A0"/>
        <w:tblBorders>
          <w:left w:val="single" w:sz="24" w:space="0" w:color="2E7D32"/>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EAF5EA"/>
          </w:tcPr>
          <w:p>
            <w:pPr>
              <w:spacing w:after="40"/>
            </w:pPr>
            <w:r>
              <w:rPr>
                <w:b/>
                <w:color w:val="2E7D32"/>
                <w:sz w:val="20"/>
              </w:rPr>
              <w:t>Impacto das contas novas do ICMS (base de 25/09/2026)</w:t>
            </w:r>
          </w:p>
          <w:p>
            <w:pPr>
              <w:spacing w:after="40"/>
            </w:pPr>
            <w:r>
              <w:rPr>
                <w:sz w:val="19"/>
              </w:rPr>
              <w:t>R$ 4,16 bi em 2021–2022 e R$ 4,35 bi em 2023–2025 que a regra anterior não capturava. A conta agregadora (</w:t>
            </w:r>
            <w:r>
              <w:rPr>
                <w:rFonts w:ascii="Consolas" w:hAnsi="Consolas"/>
                <w:sz w:val="18"/>
              </w:rPr>
              <w:t>11180210</w:t>
            </w:r>
            <w:r>
              <w:rPr>
                <w:sz w:val="19"/>
              </w:rPr>
              <w:t xml:space="preserve"> / </w:t>
            </w:r>
            <w:r>
              <w:rPr>
                <w:rFonts w:ascii="Consolas" w:hAnsi="Consolas"/>
                <w:sz w:val="18"/>
              </w:rPr>
              <w:t>11145010</w:t>
            </w:r>
            <w:r>
              <w:rPr>
                <w:sz w:val="19"/>
              </w:rPr>
              <w:t>) é igual à soma das contas 1 a 8, sem dupla contagem.</w:t>
            </w:r>
          </w:p>
          <w:p>
            <w:pPr>
              <w:spacing w:after="40"/>
            </w:pPr>
            <w:r>
              <w:rPr>
                <w:sz w:val="19"/>
              </w:rPr>
              <w:t xml:space="preserve">Em 2019–2020 não há desdobramentos faltando: a conta </w:t>
            </w:r>
            <w:r>
              <w:rPr>
                <w:rFonts w:ascii="Consolas" w:hAnsi="Consolas"/>
                <w:sz w:val="18"/>
              </w:rPr>
              <w:t>41113020000</w:t>
            </w:r>
            <w:r>
              <w:rPr>
                <w:sz w:val="19"/>
              </w:rPr>
              <w:t xml:space="preserve"> (ICMS 100%) é igual a Principal + FECOP.</w:t>
            </w:r>
          </w:p>
        </w:tc>
      </w:tr>
    </w:tbl>
    <w:p>
      <w:pPr>
        <w:spacing w:after="40"/>
      </w:pPr>
    </w:p>
    <w:p>
      <w:pPr>
        <w:pStyle w:val="Heading2"/>
      </w:pPr>
      <w:r>
        <w:t>4.5 Cota-Parte do ICMS dos Estados</w:t>
      </w:r>
    </w:p>
    <w:p>
      <w:r>
        <w:t>A receita de Cota-Parte do ICMS não está destacada no quadro de receita da base de dados abertos do SIOPE. Portanto, neste primeiro momento, não foram extraídos esses valores para os Estados referentes ao SIOPE.</w:t>
      </w:r>
    </w:p>
    <w:p>
      <w:pPr>
        <w:pStyle w:val="Heading2"/>
      </w:pPr>
      <w:r>
        <w:t>4.6 Registros desconsiderados</w:t>
      </w:r>
    </w:p>
    <w:p>
      <w:r>
        <w:rPr>
          <w:b/>
        </w:rPr>
        <w:t>DF, 2021 — contas 1116xxxx.</w:t>
      </w:r>
      <w:r>
        <w:t xml:space="preserve"> Além das contas regulares do ICMS (</w:t>
      </w:r>
      <w:r>
        <w:rPr>
          <w:rFonts w:ascii="Consolas" w:hAnsi="Consolas"/>
          <w:sz w:val="20"/>
        </w:rPr>
        <w:t>1118021x</w:t>
      </w:r>
      <w:r>
        <w:t xml:space="preserve">, R$ 9,78 bi), o DF declarou as contas </w:t>
      </w:r>
      <w:r>
        <w:rPr>
          <w:rFonts w:ascii="Consolas" w:hAnsi="Consolas"/>
          <w:sz w:val="20"/>
        </w:rPr>
        <w:t>11160000</w:t>
      </w:r>
      <w:r>
        <w:t>–</w:t>
      </w:r>
      <w:r>
        <w:rPr>
          <w:rFonts w:ascii="Consolas" w:hAnsi="Consolas"/>
          <w:sz w:val="20"/>
        </w:rPr>
        <w:t>11160102</w:t>
      </w:r>
      <w:r>
        <w:t xml:space="preserve"> (“Imposto Sobre Circulação de Mercadorias e Serviços”) com o mesmo valor, R$ 7,94 bi, repetido no Principal e em Multas e Juros. É uma declaração duplicada e não entra na regra.</w:t>
      </w:r>
    </w:p>
    <w:p>
      <w:pPr>
        <w:pStyle w:val="Heading1"/>
      </w:pPr>
      <w:r>
        <w:t>5. Compensação financeira das perdas de ICMS (LC 194/2022)</w:t>
      </w:r>
    </w:p>
    <w:p>
      <w:r>
        <w:t xml:space="preserve">A LC 194/2022 reduziu o ICMS sobre combustíveis, energia, comunicações e transporte coletivo. A União compensa os Estados pelas perdas de arrecadação, e os Estados repassam </w:t>
      </w:r>
      <w:r>
        <w:rPr>
          <w:b/>
        </w:rPr>
        <w:t>25% aos seus Municípios</w:t>
      </w:r>
      <w:r>
        <w:t xml:space="preserve"> (cota-parte). No SIOPE essas receitas aparecem em contas próprias, </w:t>
      </w:r>
      <w:r>
        <w:rPr>
          <w:b/>
        </w:rPr>
        <w:t>somente de 2023 a 2025</w:t>
      </w:r>
      <w:r>
        <w:t>.</w:t>
      </w:r>
    </w:p>
    <w:p>
      <w:r>
        <w:t xml:space="preserve">Cada aba ganha uma nova métrica, </w:t>
      </w:r>
      <w:r>
        <w:rPr>
          <w:b/>
        </w:rPr>
        <w:t>Compensação ICMS</w:t>
      </w:r>
      <w:r>
        <w:t xml:space="preserve">, em coluna própria. Ela </w:t>
      </w:r>
      <w:r>
        <w:rPr>
          <w:b/>
        </w:rPr>
        <w:t>não é somada</w:t>
      </w:r>
      <w:r>
        <w:t xml:space="preserve"> ao ICMS nem à Cota-Parte. De 2019 a 2022 não há contas de compensação no SIOPE, e a coluna fica vazia.</w:t>
      </w:r>
    </w:p>
    <w:p>
      <w:pPr>
        <w:pStyle w:val="Heading2"/>
        <w:keepNext/>
      </w:pPr>
      <w:r>
        <w:t>5.1 Contas de compensação</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2340"/>
        <w:gridCol w:w="2340"/>
        <w:gridCol w:w="2340"/>
        <w:gridCol w:w="2340"/>
      </w:tblGrid>
      <w:tr>
        <w:trPr>
          <w:tblHeader w:val="true"/>
        </w:trPr>
        <w:tc>
          <w:tcPr>
            <w:tcW w:type="dxa" w:w="1368"/>
            <w:shd w:val="clear" w:color="auto" w:fill="1F3864"/>
            <w:vAlign w:val="center"/>
          </w:tcPr>
          <w:p>
            <w:pPr>
              <w:keepNext/>
              <w:spacing w:after="0"/>
            </w:pPr>
            <w:r>
              <w:rPr>
                <w:b/>
                <w:color w:val="FFFFFF"/>
                <w:sz w:val="18"/>
              </w:rPr>
              <w:t>Conta</w:t>
            </w:r>
          </w:p>
        </w:tc>
        <w:tc>
          <w:tcPr>
            <w:tcW w:type="dxa" w:w="4536"/>
            <w:shd w:val="clear" w:color="auto" w:fill="1F3864"/>
            <w:vAlign w:val="center"/>
          </w:tcPr>
          <w:p>
            <w:pPr>
              <w:keepNext/>
              <w:spacing w:after="0"/>
            </w:pPr>
            <w:r>
              <w:rPr>
                <w:b/>
                <w:color w:val="FFFFFF"/>
                <w:sz w:val="18"/>
              </w:rPr>
              <w:t>Descrição no SIOPE</w:t>
            </w:r>
          </w:p>
        </w:tc>
        <w:tc>
          <w:tcPr>
            <w:tcW w:type="dxa" w:w="1584"/>
            <w:shd w:val="clear" w:color="auto" w:fill="1F3864"/>
            <w:vAlign w:val="center"/>
          </w:tcPr>
          <w:p>
            <w:pPr>
              <w:keepNext/>
              <w:spacing w:after="0"/>
            </w:pPr>
            <w:r>
              <w:rPr>
                <w:b/>
                <w:color w:val="FFFFFF"/>
                <w:sz w:val="18"/>
              </w:rPr>
              <w:t>Rubrica de</w:t>
            </w:r>
          </w:p>
        </w:tc>
        <w:tc>
          <w:tcPr>
            <w:tcW w:type="dxa" w:w="1872"/>
            <w:shd w:val="clear" w:color="auto" w:fill="1F3864"/>
            <w:vAlign w:val="center"/>
          </w:tcPr>
          <w:p>
            <w:pPr>
              <w:keepNext/>
              <w:spacing w:after="0"/>
            </w:pPr>
            <w:r>
              <w:rPr>
                <w:b/>
                <w:color w:val="FFFFFF"/>
                <w:sz w:val="18"/>
              </w:rPr>
              <w:t>Uso na base (2023–2025)</w:t>
            </w:r>
          </w:p>
        </w:tc>
      </w:tr>
      <w:tr>
        <w:trPr>
          <w:cantSplit w:val="true"/>
        </w:trPr>
        <w:tc>
          <w:tcPr>
            <w:tcW w:type="dxa" w:w="1368"/>
            <w:vAlign w:val="center"/>
          </w:tcPr>
          <w:p>
            <w:pPr>
              <w:keepNext/>
              <w:spacing w:after="0" w:line="240" w:lineRule="auto"/>
            </w:pPr>
            <w:r>
              <w:rPr>
                <w:rFonts w:ascii="Consolas" w:hAnsi="Consolas"/>
                <w:sz w:val="18"/>
              </w:rPr>
              <w:t>17196200</w:t>
            </w:r>
          </w:p>
        </w:tc>
        <w:tc>
          <w:tcPr>
            <w:tcW w:type="dxa" w:w="4536"/>
            <w:vAlign w:val="center"/>
          </w:tcPr>
          <w:p>
            <w:pPr>
              <w:keepNext/>
              <w:spacing w:after="0" w:line="240" w:lineRule="auto"/>
            </w:pPr>
            <w:r>
              <w:rPr>
                <w:sz w:val="18"/>
              </w:rPr>
              <w:t>“Transferência da Compensação Financeira das Perdas com Arrecadação de ICMS – Art. 3º, §4º, LC 194/2022”</w:t>
            </w:r>
          </w:p>
        </w:tc>
        <w:tc>
          <w:tcPr>
            <w:tcW w:type="dxa" w:w="1584"/>
            <w:vAlign w:val="center"/>
          </w:tcPr>
          <w:p>
            <w:pPr>
              <w:keepNext/>
              <w:spacing w:after="0" w:line="240" w:lineRule="auto"/>
            </w:pPr>
            <w:r>
              <w:rPr>
                <w:b/>
                <w:sz w:val="18"/>
              </w:rPr>
              <w:t>Estados</w:t>
            </w:r>
            <w:r>
              <w:rPr>
                <w:sz w:val="18"/>
              </w:rPr>
              <w:t xml:space="preserve"> (inclusive DF)</w:t>
            </w:r>
          </w:p>
        </w:tc>
        <w:tc>
          <w:tcPr>
            <w:tcW w:type="dxa" w:w="1872"/>
            <w:vAlign w:val="center"/>
          </w:tcPr>
          <w:p>
            <w:pPr>
              <w:keepNext/>
              <w:spacing w:after="0" w:line="240" w:lineRule="auto"/>
            </w:pPr>
            <w:r>
              <w:rPr>
                <w:sz w:val="18"/>
              </w:rPr>
              <w:t>25 Estados; também 89 Municípios</w:t>
            </w:r>
          </w:p>
        </w:tc>
      </w:tr>
      <w:tr>
        <w:trPr>
          <w:cantSplit w:val="true"/>
        </w:trPr>
        <w:tc>
          <w:tcPr>
            <w:tcW w:type="dxa" w:w="1368"/>
            <w:vAlign w:val="center"/>
            <w:shd w:val="clear" w:color="auto" w:fill="F3F6FA"/>
          </w:tcPr>
          <w:p>
            <w:pPr>
              <w:keepNext/>
              <w:spacing w:after="0" w:line="240" w:lineRule="auto"/>
            </w:pPr>
            <w:r>
              <w:rPr>
                <w:rFonts w:ascii="Consolas" w:hAnsi="Consolas"/>
                <w:sz w:val="18"/>
              </w:rPr>
              <w:t>17196300</w:t>
            </w:r>
          </w:p>
        </w:tc>
        <w:tc>
          <w:tcPr>
            <w:tcW w:type="dxa" w:w="4536"/>
            <w:vAlign w:val="center"/>
            <w:shd w:val="clear" w:color="auto" w:fill="F3F6FA"/>
          </w:tcPr>
          <w:p>
            <w:pPr>
              <w:keepNext/>
              <w:spacing w:after="0" w:line="240" w:lineRule="auto"/>
            </w:pPr>
            <w:r>
              <w:rPr>
                <w:sz w:val="18"/>
              </w:rPr>
              <w:t>“Transferência da Compensação Financeira das Perdas com Arrecadação de ICMS referente à apropriação da parcela da CFEM devida à União – Art. 3º, §5º, LC 194/2022”</w:t>
            </w:r>
          </w:p>
        </w:tc>
        <w:tc>
          <w:tcPr>
            <w:tcW w:type="dxa" w:w="1584"/>
            <w:vAlign w:val="center"/>
            <w:shd w:val="clear" w:color="auto" w:fill="F3F6FA"/>
          </w:tcPr>
          <w:p>
            <w:pPr>
              <w:keepNext/>
              <w:spacing w:after="0" w:line="240" w:lineRule="auto"/>
            </w:pPr>
            <w:r>
              <w:rPr>
                <w:b/>
                <w:sz w:val="18"/>
              </w:rPr>
              <w:t>Estados</w:t>
            </w:r>
          </w:p>
        </w:tc>
        <w:tc>
          <w:tcPr>
            <w:tcW w:type="dxa" w:w="1872"/>
            <w:vAlign w:val="center"/>
            <w:shd w:val="clear" w:color="auto" w:fill="F3F6FA"/>
          </w:tcPr>
          <w:p>
            <w:pPr>
              <w:keepNext/>
              <w:spacing w:after="0" w:line="240" w:lineRule="auto"/>
            </w:pPr>
            <w:r>
              <w:rPr>
                <w:sz w:val="18"/>
              </w:rPr>
              <w:t>nenhum Estado; 10 Municípios</w:t>
            </w:r>
          </w:p>
        </w:tc>
      </w:tr>
      <w:tr>
        <w:trPr>
          <w:cantSplit w:val="true"/>
        </w:trPr>
        <w:tc>
          <w:tcPr>
            <w:tcW w:type="dxa" w:w="1368"/>
            <w:vAlign w:val="center"/>
          </w:tcPr>
          <w:p>
            <w:pPr>
              <w:spacing w:after="0" w:line="240" w:lineRule="auto"/>
            </w:pPr>
            <w:r>
              <w:rPr>
                <w:rFonts w:ascii="Consolas" w:hAnsi="Consolas"/>
                <w:sz w:val="18"/>
              </w:rPr>
              <w:t>17295300</w:t>
            </w:r>
          </w:p>
        </w:tc>
        <w:tc>
          <w:tcPr>
            <w:tcW w:type="dxa" w:w="4536"/>
            <w:vAlign w:val="center"/>
          </w:tcPr>
          <w:p>
            <w:pPr>
              <w:spacing w:after="0" w:line="240" w:lineRule="auto"/>
            </w:pPr>
            <w:r>
              <w:rPr>
                <w:sz w:val="18"/>
              </w:rPr>
              <w:t>“Cota-Parte da Transferência da Compensação Financeira das Perdas com Arrecadação de ICMS – LC nº 194/2022”</w:t>
            </w:r>
          </w:p>
        </w:tc>
        <w:tc>
          <w:tcPr>
            <w:tcW w:type="dxa" w:w="1584"/>
            <w:vAlign w:val="center"/>
          </w:tcPr>
          <w:p>
            <w:pPr>
              <w:spacing w:after="0" w:line="240" w:lineRule="auto"/>
            </w:pPr>
            <w:r>
              <w:rPr>
                <w:b/>
                <w:sz w:val="18"/>
              </w:rPr>
              <w:t>Municípios</w:t>
            </w:r>
          </w:p>
        </w:tc>
        <w:tc>
          <w:tcPr>
            <w:tcW w:type="dxa" w:w="1872"/>
            <w:vAlign w:val="center"/>
          </w:tcPr>
          <w:p>
            <w:pPr>
              <w:spacing w:after="0" w:line="240" w:lineRule="auto"/>
            </w:pPr>
            <w:r>
              <w:rPr>
                <w:sz w:val="18"/>
              </w:rPr>
              <w:t>2.071 Municípios; nenhum Estado</w:t>
            </w:r>
          </w:p>
        </w:tc>
      </w:tr>
    </w:tbl>
    <w:p>
      <w:pPr>
        <w:spacing w:after="40"/>
      </w:pPr>
    </w:p>
    <w:p>
      <w:r>
        <w:rPr>
          <w:color w:val="595959"/>
          <w:sz w:val="19"/>
        </w:rPr>
        <w:t>As três são contas agregadoras (último dígito 0). Seus desdobramentos (</w:t>
      </w:r>
      <w:r>
        <w:rPr>
          <w:rFonts w:ascii="Consolas" w:hAnsi="Consolas"/>
          <w:color w:val="595959"/>
          <w:sz w:val="18"/>
        </w:rPr>
        <w:t>17196201</w:t>
      </w:r>
      <w:r>
        <w:rPr>
          <w:color w:val="595959"/>
          <w:sz w:val="19"/>
        </w:rPr>
        <w:t xml:space="preserve">, </w:t>
      </w:r>
      <w:r>
        <w:rPr>
          <w:rFonts w:ascii="Consolas" w:hAnsi="Consolas"/>
          <w:color w:val="595959"/>
          <w:sz w:val="18"/>
        </w:rPr>
        <w:t>17295301</w:t>
      </w:r>
      <w:r>
        <w:rPr>
          <w:color w:val="595959"/>
          <w:sz w:val="19"/>
        </w:rPr>
        <w:t xml:space="preserve"> etc.) </w:t>
      </w:r>
      <w:r>
        <w:rPr>
          <w:b/>
          <w:color w:val="595959"/>
          <w:sz w:val="19"/>
        </w:rPr>
        <w:t>não</w:t>
      </w:r>
      <w:r>
        <w:rPr>
          <w:color w:val="595959"/>
          <w:sz w:val="19"/>
        </w:rPr>
        <w:t xml:space="preserve"> devem ser somados.</w:t>
      </w:r>
    </w:p>
    <w:p>
      <w:pPr>
        <w:pStyle w:val="Heading2"/>
      </w:pPr>
      <w:r>
        <w:t>5.2 Municípios — métrica Compensação ICMS</w:t>
      </w:r>
    </w:p>
    <w:p>
      <w:r>
        <w:rPr>
          <w:b/>
        </w:rPr>
        <w:t>Compensação ICMS = 17295300 + 17196200 + 17196300</w:t>
      </w:r>
      <w:r>
        <w:t xml:space="preserve"> (anos 2023 a 2025), cada conta pela regra de valor da seção 5.4.</w:t>
      </w:r>
    </w:p>
    <w:tbl>
      <w:tblPr>
        <w:tblW w:type="auto" w:w="0"/>
        <w:jc w:val="center"/>
        <w:tblLook w:firstColumn="1" w:firstRow="1" w:lastColumn="0" w:lastRow="0" w:noHBand="0" w:noVBand="1" w:val="04A0"/>
        <w:tblBorders>
          <w:left w:val="single" w:sz="24" w:space="0" w:color="2E75B6"/>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EAF1FB"/>
          </w:tcPr>
          <w:p>
            <w:pPr>
              <w:spacing w:after="40"/>
            </w:pPr>
            <w:r>
              <w:rPr>
                <w:b/>
                <w:color w:val="2E75B6"/>
                <w:sz w:val="20"/>
              </w:rPr>
              <w:t>Municípios que usaram a rubrica dos Estados</w:t>
            </w:r>
          </w:p>
          <w:p>
            <w:pPr>
              <w:spacing w:after="40"/>
            </w:pPr>
            <w:r>
              <w:rPr>
                <w:b/>
                <w:sz w:val="19"/>
              </w:rPr>
              <w:t>97 Municípios</w:t>
            </w:r>
            <w:r>
              <w:rPr>
                <w:sz w:val="19"/>
              </w:rPr>
              <w:t xml:space="preserve"> (122 casos município-ano, R$ 78,3 mi) registraram a compensação nas contas dos Estados (</w:t>
            </w:r>
            <w:r>
              <w:rPr>
                <w:rFonts w:ascii="Consolas" w:hAnsi="Consolas"/>
                <w:sz w:val="18"/>
              </w:rPr>
              <w:t>17196200</w:t>
            </w:r>
            <w:r>
              <w:rPr>
                <w:sz w:val="19"/>
              </w:rPr>
              <w:t xml:space="preserve"> ou </w:t>
            </w:r>
            <w:r>
              <w:rPr>
                <w:rFonts w:ascii="Consolas" w:hAnsi="Consolas"/>
                <w:sz w:val="18"/>
              </w:rPr>
              <w:t>17196300</w:t>
            </w:r>
            <w:r>
              <w:rPr>
                <w:sz w:val="19"/>
              </w:rPr>
              <w:t>). Os valores se concentram em GO (21 Municípios), RS (13), MT (9) e TO (9).</w:t>
            </w:r>
          </w:p>
          <w:p>
            <w:pPr>
              <w:spacing w:after="40"/>
            </w:pPr>
            <w:r>
              <w:rPr>
                <w:sz w:val="19"/>
              </w:rPr>
              <w:t xml:space="preserve">Município só recebe essa compensação como cota-parte repassada pelo Estado. Por isso esses valores são tratados como cota-parte e </w:t>
            </w:r>
            <w:r>
              <w:rPr>
                <w:b/>
                <w:sz w:val="19"/>
              </w:rPr>
              <w:t>entram na métrica</w:t>
            </w:r>
            <w:r>
              <w:rPr>
                <w:sz w:val="19"/>
              </w:rPr>
              <w:t>.</w:t>
            </w:r>
          </w:p>
        </w:tc>
      </w:tr>
    </w:tbl>
    <w:p>
      <w:pPr>
        <w:spacing w:after="40"/>
      </w:pPr>
    </w:p>
    <w:tbl>
      <w:tblPr>
        <w:tblW w:type="auto" w:w="0"/>
        <w:jc w:val="center"/>
        <w:tblLook w:firstColumn="1" w:firstRow="1" w:lastColumn="0" w:lastRow="0" w:noHBand="0" w:noVBand="1" w:val="04A0"/>
        <w:tblBorders>
          <w:left w:val="single" w:sz="24" w:space="0" w:color="C55A11"/>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FFF4E5"/>
          </w:tcPr>
          <w:p>
            <w:pPr>
              <w:spacing w:after="40"/>
            </w:pPr>
            <w:r>
              <w:rPr>
                <w:b/>
                <w:color w:val="C55A11"/>
                <w:sz w:val="20"/>
              </w:rPr>
              <w:t>Regra de duplicidade — mesmo Município-ano nas duas rubricas</w:t>
            </w:r>
          </w:p>
          <w:p>
            <w:pPr>
              <w:spacing w:after="20"/>
              <w:ind w:left="259" w:hanging="202"/>
            </w:pPr>
            <w:r>
              <w:rPr>
                <w:sz w:val="19"/>
              </w:rPr>
              <w:t xml:space="preserve">•  Se a soma de </w:t>
            </w:r>
            <w:r>
              <w:rPr>
                <w:rFonts w:ascii="Consolas" w:hAnsi="Consolas"/>
                <w:sz w:val="18"/>
              </w:rPr>
              <w:t>17196200</w:t>
            </w:r>
            <w:r>
              <w:rPr>
                <w:sz w:val="19"/>
              </w:rPr>
              <w:t xml:space="preserve"> + </w:t>
            </w:r>
            <w:r>
              <w:rPr>
                <w:rFonts w:ascii="Consolas" w:hAnsi="Consolas"/>
                <w:sz w:val="18"/>
              </w:rPr>
              <w:t>17196300</w:t>
            </w:r>
            <w:r>
              <w:rPr>
                <w:sz w:val="19"/>
              </w:rPr>
              <w:t xml:space="preserve"> for </w:t>
            </w:r>
            <w:r>
              <w:rPr>
                <w:b/>
                <w:sz w:val="19"/>
              </w:rPr>
              <w:t>igual</w:t>
            </w:r>
            <w:r>
              <w:rPr>
                <w:sz w:val="19"/>
              </w:rPr>
              <w:t xml:space="preserve"> a </w:t>
            </w:r>
            <w:r>
              <w:rPr>
                <w:rFonts w:ascii="Consolas" w:hAnsi="Consolas"/>
                <w:sz w:val="18"/>
              </w:rPr>
              <w:t>17295300</w:t>
            </w:r>
            <w:r>
              <w:rPr>
                <w:sz w:val="19"/>
              </w:rPr>
              <w:t xml:space="preserve"> (diferença menor que R$ 0,01): é o mesmo valor lançado duas vezes → considerar </w:t>
            </w:r>
            <w:r>
              <w:rPr>
                <w:b/>
                <w:sz w:val="19"/>
              </w:rPr>
              <w:t>uma vez só</w:t>
            </w:r>
            <w:r>
              <w:rPr>
                <w:sz w:val="19"/>
              </w:rPr>
              <w:t>.</w:t>
            </w:r>
          </w:p>
          <w:p>
            <w:pPr>
              <w:spacing w:after="20"/>
              <w:ind w:left="259" w:hanging="202"/>
            </w:pPr>
            <w:r>
              <w:rPr>
                <w:sz w:val="19"/>
              </w:rPr>
              <w:t xml:space="preserve">•  Se os valores forem </w:t>
            </w:r>
            <w:r>
              <w:rPr>
                <w:b/>
                <w:sz w:val="19"/>
              </w:rPr>
              <w:t>diferentes</w:t>
            </w:r>
            <w:r>
              <w:rPr>
                <w:sz w:val="19"/>
              </w:rPr>
              <w:t xml:space="preserve">: considerar como parcelas distintas → </w:t>
            </w:r>
            <w:r>
              <w:rPr>
                <w:b/>
                <w:sz w:val="19"/>
              </w:rPr>
              <w:t>somar</w:t>
            </w:r>
            <w:r>
              <w:rPr>
                <w:sz w:val="19"/>
              </w:rPr>
              <w:t>.</w:t>
            </w:r>
          </w:p>
        </w:tc>
      </w:tr>
    </w:tbl>
    <w:p>
      <w:pPr>
        <w:spacing w:after="40"/>
      </w:pPr>
    </w:p>
    <w:p>
      <w:pPr>
        <w:keepNext/>
      </w:pPr>
      <w:r>
        <w:t>Casos na base de 25/09/2026 (todos de Municípios; nenhum Estado usou a rubrica municipal):</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1872"/>
        <w:gridCol w:w="1872"/>
        <w:gridCol w:w="1872"/>
        <w:gridCol w:w="1872"/>
        <w:gridCol w:w="1872"/>
      </w:tblGrid>
      <w:tr>
        <w:trPr>
          <w:tblHeader w:val="true"/>
        </w:trPr>
        <w:tc>
          <w:tcPr>
            <w:tcW w:type="dxa" w:w="1656"/>
            <w:shd w:val="clear" w:color="auto" w:fill="1F3864"/>
            <w:vAlign w:val="center"/>
          </w:tcPr>
          <w:p>
            <w:pPr>
              <w:keepNext/>
              <w:spacing w:after="0"/>
            </w:pPr>
            <w:r>
              <w:rPr>
                <w:b/>
                <w:color w:val="FFFFFF"/>
                <w:sz w:val="18"/>
              </w:rPr>
              <w:t>Município</w:t>
            </w:r>
          </w:p>
        </w:tc>
        <w:tc>
          <w:tcPr>
            <w:tcW w:type="dxa" w:w="864"/>
            <w:shd w:val="clear" w:color="auto" w:fill="1F3864"/>
            <w:vAlign w:val="center"/>
          </w:tcPr>
          <w:p>
            <w:pPr>
              <w:keepNext/>
              <w:spacing w:after="0"/>
            </w:pPr>
            <w:r>
              <w:rPr>
                <w:b/>
                <w:color w:val="FFFFFF"/>
                <w:sz w:val="18"/>
              </w:rPr>
              <w:t>Ano</w:t>
            </w:r>
          </w:p>
        </w:tc>
        <w:tc>
          <w:tcPr>
            <w:tcW w:type="dxa" w:w="2088"/>
            <w:shd w:val="clear" w:color="auto" w:fill="1F3864"/>
            <w:vAlign w:val="center"/>
          </w:tcPr>
          <w:p>
            <w:pPr>
              <w:keepNext/>
              <w:spacing w:after="0"/>
            </w:pPr>
            <w:r>
              <w:rPr>
                <w:b/>
                <w:color w:val="FFFFFF"/>
                <w:sz w:val="18"/>
              </w:rPr>
              <w:t>Rubrica Estado</w:t>
            </w:r>
          </w:p>
        </w:tc>
        <w:tc>
          <w:tcPr>
            <w:tcW w:type="dxa" w:w="2232"/>
            <w:shd w:val="clear" w:color="auto" w:fill="1F3864"/>
            <w:vAlign w:val="center"/>
          </w:tcPr>
          <w:p>
            <w:pPr>
              <w:keepNext/>
              <w:spacing w:after="0"/>
            </w:pPr>
            <w:r>
              <w:rPr>
                <w:b/>
                <w:color w:val="FFFFFF"/>
                <w:sz w:val="18"/>
              </w:rPr>
              <w:t>Rubrica Município</w:t>
            </w:r>
          </w:p>
        </w:tc>
        <w:tc>
          <w:tcPr>
            <w:tcW w:type="dxa" w:w="2520"/>
            <w:shd w:val="clear" w:color="auto" w:fill="1F3864"/>
            <w:vAlign w:val="center"/>
          </w:tcPr>
          <w:p>
            <w:pPr>
              <w:keepNext/>
              <w:spacing w:after="0"/>
            </w:pPr>
            <w:r>
              <w:rPr>
                <w:b/>
                <w:color w:val="FFFFFF"/>
                <w:sz w:val="18"/>
              </w:rPr>
              <w:t>Tratamento</w:t>
            </w:r>
          </w:p>
        </w:tc>
      </w:tr>
      <w:tr>
        <w:trPr>
          <w:cantSplit w:val="true"/>
        </w:trPr>
        <w:tc>
          <w:tcPr>
            <w:tcW w:type="dxa" w:w="1656"/>
            <w:vAlign w:val="center"/>
          </w:tcPr>
          <w:p>
            <w:pPr>
              <w:keepNext/>
              <w:spacing w:after="0" w:line="240" w:lineRule="auto"/>
            </w:pPr>
            <w:r>
              <w:rPr>
                <w:rFonts w:ascii="Consolas" w:hAnsi="Consolas"/>
                <w:sz w:val="18"/>
              </w:rPr>
              <w:t>GO/520500</w:t>
            </w:r>
          </w:p>
        </w:tc>
        <w:tc>
          <w:tcPr>
            <w:tcW w:type="dxa" w:w="864"/>
            <w:vAlign w:val="center"/>
          </w:tcPr>
          <w:p>
            <w:pPr>
              <w:keepNext/>
              <w:spacing w:after="0" w:line="240" w:lineRule="auto"/>
            </w:pPr>
            <w:r>
              <w:rPr>
                <w:sz w:val="18"/>
              </w:rPr>
              <w:t>2023</w:t>
            </w:r>
          </w:p>
        </w:tc>
        <w:tc>
          <w:tcPr>
            <w:tcW w:type="dxa" w:w="2088"/>
            <w:vAlign w:val="center"/>
          </w:tcPr>
          <w:p>
            <w:pPr>
              <w:keepNext/>
              <w:spacing w:after="0" w:line="240" w:lineRule="auto"/>
            </w:pPr>
            <w:r>
              <w:rPr>
                <w:sz w:val="18"/>
              </w:rPr>
              <w:t>R$ 407.287,83</w:t>
            </w:r>
          </w:p>
        </w:tc>
        <w:tc>
          <w:tcPr>
            <w:tcW w:type="dxa" w:w="2232"/>
            <w:vAlign w:val="center"/>
          </w:tcPr>
          <w:p>
            <w:pPr>
              <w:keepNext/>
              <w:spacing w:after="0" w:line="240" w:lineRule="auto"/>
            </w:pPr>
            <w:r>
              <w:rPr>
                <w:sz w:val="18"/>
              </w:rPr>
              <w:t>R$ 407.287,83</w:t>
            </w:r>
          </w:p>
        </w:tc>
        <w:tc>
          <w:tcPr>
            <w:tcW w:type="dxa" w:w="2520"/>
            <w:vAlign w:val="center"/>
          </w:tcPr>
          <w:p>
            <w:pPr>
              <w:keepNext/>
              <w:spacing w:after="0" w:line="240" w:lineRule="auto"/>
            </w:pPr>
            <w:r>
              <w:rPr>
                <w:sz w:val="18"/>
              </w:rPr>
              <w:t>iguais → uma vez</w:t>
            </w:r>
          </w:p>
        </w:tc>
      </w:tr>
      <w:tr>
        <w:trPr>
          <w:cantSplit w:val="true"/>
        </w:trPr>
        <w:tc>
          <w:tcPr>
            <w:tcW w:type="dxa" w:w="1656"/>
            <w:vAlign w:val="center"/>
            <w:shd w:val="clear" w:color="auto" w:fill="F3F6FA"/>
          </w:tcPr>
          <w:p>
            <w:pPr>
              <w:keepNext/>
              <w:spacing w:after="0" w:line="240" w:lineRule="auto"/>
            </w:pPr>
            <w:r>
              <w:rPr>
                <w:rFonts w:ascii="Consolas" w:hAnsi="Consolas"/>
                <w:sz w:val="18"/>
              </w:rPr>
              <w:t>MG/316430</w:t>
            </w:r>
          </w:p>
        </w:tc>
        <w:tc>
          <w:tcPr>
            <w:tcW w:type="dxa" w:w="864"/>
            <w:vAlign w:val="center"/>
            <w:shd w:val="clear" w:color="auto" w:fill="F3F6FA"/>
          </w:tcPr>
          <w:p>
            <w:pPr>
              <w:keepNext/>
              <w:spacing w:after="0" w:line="240" w:lineRule="auto"/>
            </w:pPr>
            <w:r>
              <w:rPr>
                <w:sz w:val="18"/>
              </w:rPr>
              <w:t>2023</w:t>
            </w:r>
          </w:p>
        </w:tc>
        <w:tc>
          <w:tcPr>
            <w:tcW w:type="dxa" w:w="2088"/>
            <w:vAlign w:val="center"/>
            <w:shd w:val="clear" w:color="auto" w:fill="F3F6FA"/>
          </w:tcPr>
          <w:p>
            <w:pPr>
              <w:keepNext/>
              <w:spacing w:after="0" w:line="240" w:lineRule="auto"/>
            </w:pPr>
            <w:r>
              <w:rPr>
                <w:sz w:val="18"/>
              </w:rPr>
              <w:t>R$ 29.553,29</w:t>
            </w:r>
          </w:p>
        </w:tc>
        <w:tc>
          <w:tcPr>
            <w:tcW w:type="dxa" w:w="2232"/>
            <w:vAlign w:val="center"/>
            <w:shd w:val="clear" w:color="auto" w:fill="F3F6FA"/>
          </w:tcPr>
          <w:p>
            <w:pPr>
              <w:keepNext/>
              <w:spacing w:after="0" w:line="240" w:lineRule="auto"/>
            </w:pPr>
            <w:r>
              <w:rPr>
                <w:sz w:val="18"/>
              </w:rPr>
              <w:t>R$ 29.553,29</w:t>
            </w:r>
          </w:p>
        </w:tc>
        <w:tc>
          <w:tcPr>
            <w:tcW w:type="dxa" w:w="2520"/>
            <w:vAlign w:val="center"/>
            <w:shd w:val="clear" w:color="auto" w:fill="F3F6FA"/>
          </w:tcPr>
          <w:p>
            <w:pPr>
              <w:keepNext/>
              <w:spacing w:after="0" w:line="240" w:lineRule="auto"/>
            </w:pPr>
            <w:r>
              <w:rPr>
                <w:sz w:val="18"/>
              </w:rPr>
              <w:t>iguais → uma vez</w:t>
            </w:r>
          </w:p>
        </w:tc>
      </w:tr>
      <w:tr>
        <w:trPr>
          <w:cantSplit w:val="true"/>
        </w:trPr>
        <w:tc>
          <w:tcPr>
            <w:tcW w:type="dxa" w:w="1656"/>
            <w:vAlign w:val="center"/>
          </w:tcPr>
          <w:p>
            <w:pPr>
              <w:keepNext/>
              <w:spacing w:after="0" w:line="240" w:lineRule="auto"/>
            </w:pPr>
            <w:r>
              <w:rPr>
                <w:rFonts w:ascii="Consolas" w:hAnsi="Consolas"/>
                <w:sz w:val="18"/>
              </w:rPr>
              <w:t>GO/521170</w:t>
            </w:r>
          </w:p>
        </w:tc>
        <w:tc>
          <w:tcPr>
            <w:tcW w:type="dxa" w:w="864"/>
            <w:vAlign w:val="center"/>
          </w:tcPr>
          <w:p>
            <w:pPr>
              <w:keepNext/>
              <w:spacing w:after="0" w:line="240" w:lineRule="auto"/>
            </w:pPr>
            <w:r>
              <w:rPr>
                <w:sz w:val="18"/>
              </w:rPr>
              <w:t>2023</w:t>
            </w:r>
          </w:p>
        </w:tc>
        <w:tc>
          <w:tcPr>
            <w:tcW w:type="dxa" w:w="2088"/>
            <w:vAlign w:val="center"/>
          </w:tcPr>
          <w:p>
            <w:pPr>
              <w:keepNext/>
              <w:spacing w:after="0" w:line="240" w:lineRule="auto"/>
            </w:pPr>
            <w:r>
              <w:rPr>
                <w:sz w:val="18"/>
              </w:rPr>
              <w:t>R$ 316.695,49</w:t>
            </w:r>
          </w:p>
        </w:tc>
        <w:tc>
          <w:tcPr>
            <w:tcW w:type="dxa" w:w="2232"/>
            <w:vAlign w:val="center"/>
          </w:tcPr>
          <w:p>
            <w:pPr>
              <w:keepNext/>
              <w:spacing w:after="0" w:line="240" w:lineRule="auto"/>
            </w:pPr>
            <w:r>
              <w:rPr>
                <w:sz w:val="18"/>
              </w:rPr>
              <w:t>R$ 400.830,68</w:t>
            </w:r>
          </w:p>
        </w:tc>
        <w:tc>
          <w:tcPr>
            <w:tcW w:type="dxa" w:w="2520"/>
            <w:vAlign w:val="center"/>
          </w:tcPr>
          <w:p>
            <w:pPr>
              <w:keepNext/>
              <w:spacing w:after="0" w:line="240" w:lineRule="auto"/>
            </w:pPr>
            <w:r>
              <w:rPr>
                <w:sz w:val="18"/>
              </w:rPr>
              <w:t>soma</w:t>
            </w:r>
          </w:p>
        </w:tc>
      </w:tr>
      <w:tr>
        <w:trPr>
          <w:cantSplit w:val="true"/>
        </w:trPr>
        <w:tc>
          <w:tcPr>
            <w:tcW w:type="dxa" w:w="1656"/>
            <w:vAlign w:val="center"/>
            <w:shd w:val="clear" w:color="auto" w:fill="F3F6FA"/>
          </w:tcPr>
          <w:p>
            <w:pPr>
              <w:keepNext/>
              <w:spacing w:after="0" w:line="240" w:lineRule="auto"/>
            </w:pPr>
            <w:r>
              <w:rPr>
                <w:rFonts w:ascii="Consolas" w:hAnsi="Consolas"/>
                <w:sz w:val="18"/>
              </w:rPr>
              <w:t>ES/320400</w:t>
            </w:r>
          </w:p>
        </w:tc>
        <w:tc>
          <w:tcPr>
            <w:tcW w:type="dxa" w:w="864"/>
            <w:vAlign w:val="center"/>
            <w:shd w:val="clear" w:color="auto" w:fill="F3F6FA"/>
          </w:tcPr>
          <w:p>
            <w:pPr>
              <w:keepNext/>
              <w:spacing w:after="0" w:line="240" w:lineRule="auto"/>
            </w:pPr>
            <w:r>
              <w:rPr>
                <w:sz w:val="18"/>
              </w:rPr>
              <w:t>2023</w:t>
            </w:r>
          </w:p>
        </w:tc>
        <w:tc>
          <w:tcPr>
            <w:tcW w:type="dxa" w:w="2088"/>
            <w:vAlign w:val="center"/>
            <w:shd w:val="clear" w:color="auto" w:fill="F3F6FA"/>
          </w:tcPr>
          <w:p>
            <w:pPr>
              <w:keepNext/>
              <w:spacing w:after="0" w:line="240" w:lineRule="auto"/>
            </w:pPr>
            <w:r>
              <w:rPr>
                <w:sz w:val="18"/>
              </w:rPr>
              <w:t>R$ 153.555,66</w:t>
            </w:r>
          </w:p>
        </w:tc>
        <w:tc>
          <w:tcPr>
            <w:tcW w:type="dxa" w:w="2232"/>
            <w:vAlign w:val="center"/>
            <w:shd w:val="clear" w:color="auto" w:fill="F3F6FA"/>
          </w:tcPr>
          <w:p>
            <w:pPr>
              <w:keepNext/>
              <w:spacing w:after="0" w:line="240" w:lineRule="auto"/>
            </w:pPr>
            <w:r>
              <w:rPr>
                <w:sz w:val="18"/>
              </w:rPr>
              <w:t>R$ 235.051,63</w:t>
            </w:r>
          </w:p>
        </w:tc>
        <w:tc>
          <w:tcPr>
            <w:tcW w:type="dxa" w:w="2520"/>
            <w:vAlign w:val="center"/>
            <w:shd w:val="clear" w:color="auto" w:fill="F3F6FA"/>
          </w:tcPr>
          <w:p>
            <w:pPr>
              <w:keepNext/>
              <w:spacing w:after="0" w:line="240" w:lineRule="auto"/>
            </w:pPr>
            <w:r>
              <w:rPr>
                <w:sz w:val="18"/>
              </w:rPr>
              <w:t>soma</w:t>
            </w:r>
          </w:p>
        </w:tc>
      </w:tr>
      <w:tr>
        <w:trPr>
          <w:cantSplit w:val="true"/>
        </w:trPr>
        <w:tc>
          <w:tcPr>
            <w:tcW w:type="dxa" w:w="1656"/>
            <w:vAlign w:val="center"/>
          </w:tcPr>
          <w:p>
            <w:pPr>
              <w:keepNext/>
              <w:spacing w:after="0" w:line="240" w:lineRule="auto"/>
            </w:pPr>
            <w:r>
              <w:rPr>
                <w:rFonts w:ascii="Consolas" w:hAnsi="Consolas"/>
                <w:sz w:val="18"/>
              </w:rPr>
              <w:t>MT/510330</w:t>
            </w:r>
          </w:p>
        </w:tc>
        <w:tc>
          <w:tcPr>
            <w:tcW w:type="dxa" w:w="864"/>
            <w:vAlign w:val="center"/>
          </w:tcPr>
          <w:p>
            <w:pPr>
              <w:keepNext/>
              <w:spacing w:after="0" w:line="240" w:lineRule="auto"/>
            </w:pPr>
            <w:r>
              <w:rPr>
                <w:sz w:val="18"/>
              </w:rPr>
              <w:t>2023</w:t>
            </w:r>
          </w:p>
        </w:tc>
        <w:tc>
          <w:tcPr>
            <w:tcW w:type="dxa" w:w="2088"/>
            <w:vAlign w:val="center"/>
          </w:tcPr>
          <w:p>
            <w:pPr>
              <w:keepNext/>
              <w:spacing w:after="0" w:line="240" w:lineRule="auto"/>
            </w:pPr>
            <w:r>
              <w:rPr>
                <w:sz w:val="18"/>
              </w:rPr>
              <w:t>R$ 117.940,51</w:t>
            </w:r>
          </w:p>
        </w:tc>
        <w:tc>
          <w:tcPr>
            <w:tcW w:type="dxa" w:w="2232"/>
            <w:vAlign w:val="center"/>
          </w:tcPr>
          <w:p>
            <w:pPr>
              <w:keepNext/>
              <w:spacing w:after="0" w:line="240" w:lineRule="auto"/>
            </w:pPr>
            <w:r>
              <w:rPr>
                <w:sz w:val="18"/>
              </w:rPr>
              <w:t>R$ 989.004,88</w:t>
            </w:r>
          </w:p>
        </w:tc>
        <w:tc>
          <w:tcPr>
            <w:tcW w:type="dxa" w:w="2520"/>
            <w:vAlign w:val="center"/>
          </w:tcPr>
          <w:p>
            <w:pPr>
              <w:keepNext/>
              <w:spacing w:after="0" w:line="240" w:lineRule="auto"/>
            </w:pPr>
            <w:r>
              <w:rPr>
                <w:sz w:val="18"/>
              </w:rPr>
              <w:t>soma</w:t>
            </w:r>
          </w:p>
        </w:tc>
      </w:tr>
      <w:tr>
        <w:trPr>
          <w:cantSplit w:val="true"/>
        </w:trPr>
        <w:tc>
          <w:tcPr>
            <w:tcW w:type="dxa" w:w="1656"/>
            <w:vAlign w:val="center"/>
            <w:shd w:val="clear" w:color="auto" w:fill="F3F6FA"/>
          </w:tcPr>
          <w:p>
            <w:pPr>
              <w:keepNext/>
              <w:spacing w:after="0" w:line="240" w:lineRule="auto"/>
            </w:pPr>
            <w:r>
              <w:rPr>
                <w:rFonts w:ascii="Consolas" w:hAnsi="Consolas"/>
                <w:sz w:val="18"/>
              </w:rPr>
              <w:t>MT/510130</w:t>
            </w:r>
          </w:p>
        </w:tc>
        <w:tc>
          <w:tcPr>
            <w:tcW w:type="dxa" w:w="864"/>
            <w:vAlign w:val="center"/>
            <w:shd w:val="clear" w:color="auto" w:fill="F3F6FA"/>
          </w:tcPr>
          <w:p>
            <w:pPr>
              <w:keepNext/>
              <w:spacing w:after="0" w:line="240" w:lineRule="auto"/>
            </w:pPr>
            <w:r>
              <w:rPr>
                <w:sz w:val="18"/>
              </w:rPr>
              <w:t>2025</w:t>
            </w:r>
          </w:p>
        </w:tc>
        <w:tc>
          <w:tcPr>
            <w:tcW w:type="dxa" w:w="2088"/>
            <w:vAlign w:val="center"/>
            <w:shd w:val="clear" w:color="auto" w:fill="F3F6FA"/>
          </w:tcPr>
          <w:p>
            <w:pPr>
              <w:keepNext/>
              <w:spacing w:after="0" w:line="240" w:lineRule="auto"/>
            </w:pPr>
            <w:r>
              <w:rPr>
                <w:sz w:val="18"/>
              </w:rPr>
              <w:t>R$ 113.869,11</w:t>
            </w:r>
          </w:p>
        </w:tc>
        <w:tc>
          <w:tcPr>
            <w:tcW w:type="dxa" w:w="2232"/>
            <w:vAlign w:val="center"/>
            <w:shd w:val="clear" w:color="auto" w:fill="F3F6FA"/>
          </w:tcPr>
          <w:p>
            <w:pPr>
              <w:keepNext/>
              <w:spacing w:after="0" w:line="240" w:lineRule="auto"/>
            </w:pPr>
            <w:r>
              <w:rPr>
                <w:sz w:val="18"/>
              </w:rPr>
              <w:t>R$ 7.579,27</w:t>
            </w:r>
          </w:p>
        </w:tc>
        <w:tc>
          <w:tcPr>
            <w:tcW w:type="dxa" w:w="2520"/>
            <w:vAlign w:val="center"/>
            <w:shd w:val="clear" w:color="auto" w:fill="F3F6FA"/>
          </w:tcPr>
          <w:p>
            <w:pPr>
              <w:keepNext/>
              <w:spacing w:after="0" w:line="240" w:lineRule="auto"/>
            </w:pPr>
            <w:r>
              <w:rPr>
                <w:sz w:val="18"/>
              </w:rPr>
              <w:t>soma</w:t>
            </w:r>
          </w:p>
        </w:tc>
      </w:tr>
      <w:tr>
        <w:trPr>
          <w:cantSplit w:val="true"/>
        </w:trPr>
        <w:tc>
          <w:tcPr>
            <w:tcW w:type="dxa" w:w="1656"/>
            <w:vAlign w:val="center"/>
          </w:tcPr>
          <w:p>
            <w:pPr>
              <w:keepNext/>
              <w:spacing w:after="0" w:line="240" w:lineRule="auto"/>
            </w:pPr>
            <w:r>
              <w:rPr>
                <w:rFonts w:ascii="Consolas" w:hAnsi="Consolas"/>
                <w:sz w:val="18"/>
              </w:rPr>
              <w:t>TO/171820</w:t>
            </w:r>
          </w:p>
        </w:tc>
        <w:tc>
          <w:tcPr>
            <w:tcW w:type="dxa" w:w="864"/>
            <w:vAlign w:val="center"/>
          </w:tcPr>
          <w:p>
            <w:pPr>
              <w:keepNext/>
              <w:spacing w:after="0" w:line="240" w:lineRule="auto"/>
            </w:pPr>
            <w:r>
              <w:rPr>
                <w:sz w:val="18"/>
              </w:rPr>
              <w:t>2023</w:t>
            </w:r>
          </w:p>
        </w:tc>
        <w:tc>
          <w:tcPr>
            <w:tcW w:type="dxa" w:w="2088"/>
            <w:vAlign w:val="center"/>
          </w:tcPr>
          <w:p>
            <w:pPr>
              <w:keepNext/>
              <w:spacing w:after="0" w:line="240" w:lineRule="auto"/>
            </w:pPr>
            <w:r>
              <w:rPr>
                <w:sz w:val="18"/>
              </w:rPr>
              <w:t>R$ 85.118,60</w:t>
            </w:r>
          </w:p>
        </w:tc>
        <w:tc>
          <w:tcPr>
            <w:tcW w:type="dxa" w:w="2232"/>
            <w:vAlign w:val="center"/>
          </w:tcPr>
          <w:p>
            <w:pPr>
              <w:keepNext/>
              <w:spacing w:after="0" w:line="240" w:lineRule="auto"/>
            </w:pPr>
            <w:r>
              <w:rPr>
                <w:sz w:val="18"/>
              </w:rPr>
              <w:t>R$ 2.591.106,91</w:t>
            </w:r>
          </w:p>
        </w:tc>
        <w:tc>
          <w:tcPr>
            <w:tcW w:type="dxa" w:w="2520"/>
            <w:vAlign w:val="center"/>
          </w:tcPr>
          <w:p>
            <w:pPr>
              <w:keepNext/>
              <w:spacing w:after="0" w:line="240" w:lineRule="auto"/>
            </w:pPr>
            <w:r>
              <w:rPr>
                <w:sz w:val="18"/>
              </w:rPr>
              <w:t>soma</w:t>
            </w:r>
          </w:p>
        </w:tc>
      </w:tr>
      <w:tr>
        <w:trPr>
          <w:cantSplit w:val="true"/>
        </w:trPr>
        <w:tc>
          <w:tcPr>
            <w:tcW w:type="dxa" w:w="1656"/>
            <w:vAlign w:val="center"/>
            <w:shd w:val="clear" w:color="auto" w:fill="F3F6FA"/>
          </w:tcPr>
          <w:p>
            <w:pPr>
              <w:keepNext/>
              <w:spacing w:after="0" w:line="240" w:lineRule="auto"/>
            </w:pPr>
            <w:r>
              <w:rPr>
                <w:rFonts w:ascii="Consolas" w:hAnsi="Consolas"/>
                <w:sz w:val="18"/>
              </w:rPr>
              <w:t>RS/430175</w:t>
            </w:r>
          </w:p>
        </w:tc>
        <w:tc>
          <w:tcPr>
            <w:tcW w:type="dxa" w:w="864"/>
            <w:vAlign w:val="center"/>
            <w:shd w:val="clear" w:color="auto" w:fill="F3F6FA"/>
          </w:tcPr>
          <w:p>
            <w:pPr>
              <w:keepNext/>
              <w:spacing w:after="0" w:line="240" w:lineRule="auto"/>
            </w:pPr>
            <w:r>
              <w:rPr>
                <w:sz w:val="18"/>
              </w:rPr>
              <w:t>2023</w:t>
            </w:r>
          </w:p>
        </w:tc>
        <w:tc>
          <w:tcPr>
            <w:tcW w:type="dxa" w:w="2088"/>
            <w:vAlign w:val="center"/>
            <w:shd w:val="clear" w:color="auto" w:fill="F3F6FA"/>
          </w:tcPr>
          <w:p>
            <w:pPr>
              <w:keepNext/>
              <w:spacing w:after="0" w:line="240" w:lineRule="auto"/>
            </w:pPr>
            <w:r>
              <w:rPr>
                <w:sz w:val="18"/>
              </w:rPr>
              <w:t>R$ 81.244,94</w:t>
            </w:r>
          </w:p>
        </w:tc>
        <w:tc>
          <w:tcPr>
            <w:tcW w:type="dxa" w:w="2232"/>
            <w:vAlign w:val="center"/>
            <w:shd w:val="clear" w:color="auto" w:fill="F3F6FA"/>
          </w:tcPr>
          <w:p>
            <w:pPr>
              <w:keepNext/>
              <w:spacing w:after="0" w:line="240" w:lineRule="auto"/>
            </w:pPr>
            <w:r>
              <w:rPr>
                <w:sz w:val="18"/>
              </w:rPr>
              <w:t>R$ 313.991,23</w:t>
            </w:r>
          </w:p>
        </w:tc>
        <w:tc>
          <w:tcPr>
            <w:tcW w:type="dxa" w:w="2520"/>
            <w:vAlign w:val="center"/>
            <w:shd w:val="clear" w:color="auto" w:fill="F3F6FA"/>
          </w:tcPr>
          <w:p>
            <w:pPr>
              <w:keepNext/>
              <w:spacing w:after="0" w:line="240" w:lineRule="auto"/>
            </w:pPr>
            <w:r>
              <w:rPr>
                <w:sz w:val="18"/>
              </w:rPr>
              <w:t>soma</w:t>
            </w:r>
          </w:p>
        </w:tc>
      </w:tr>
      <w:tr>
        <w:trPr>
          <w:cantSplit w:val="true"/>
        </w:trPr>
        <w:tc>
          <w:tcPr>
            <w:tcW w:type="dxa" w:w="1656"/>
            <w:vAlign w:val="center"/>
          </w:tcPr>
          <w:p>
            <w:pPr>
              <w:keepNext/>
              <w:spacing w:after="0" w:line="240" w:lineRule="auto"/>
            </w:pPr>
            <w:r>
              <w:rPr>
                <w:rFonts w:ascii="Consolas" w:hAnsi="Consolas"/>
                <w:sz w:val="18"/>
              </w:rPr>
              <w:t>GO/520945</w:t>
            </w:r>
          </w:p>
        </w:tc>
        <w:tc>
          <w:tcPr>
            <w:tcW w:type="dxa" w:w="864"/>
            <w:vAlign w:val="center"/>
          </w:tcPr>
          <w:p>
            <w:pPr>
              <w:keepNext/>
              <w:spacing w:after="0" w:line="240" w:lineRule="auto"/>
            </w:pPr>
            <w:r>
              <w:rPr>
                <w:sz w:val="18"/>
              </w:rPr>
              <w:t>2023</w:t>
            </w:r>
          </w:p>
        </w:tc>
        <w:tc>
          <w:tcPr>
            <w:tcW w:type="dxa" w:w="2088"/>
            <w:vAlign w:val="center"/>
          </w:tcPr>
          <w:p>
            <w:pPr>
              <w:keepNext/>
              <w:spacing w:after="0" w:line="240" w:lineRule="auto"/>
            </w:pPr>
            <w:r>
              <w:rPr>
                <w:sz w:val="18"/>
              </w:rPr>
              <w:t>R$ 47.362,68</w:t>
            </w:r>
          </w:p>
        </w:tc>
        <w:tc>
          <w:tcPr>
            <w:tcW w:type="dxa" w:w="2232"/>
            <w:vAlign w:val="center"/>
          </w:tcPr>
          <w:p>
            <w:pPr>
              <w:keepNext/>
              <w:spacing w:after="0" w:line="240" w:lineRule="auto"/>
            </w:pPr>
            <w:r>
              <w:rPr>
                <w:sz w:val="18"/>
              </w:rPr>
              <w:t>R$ 279.518,98</w:t>
            </w:r>
          </w:p>
        </w:tc>
        <w:tc>
          <w:tcPr>
            <w:tcW w:type="dxa" w:w="2520"/>
            <w:vAlign w:val="center"/>
          </w:tcPr>
          <w:p>
            <w:pPr>
              <w:keepNext/>
              <w:spacing w:after="0" w:line="240" w:lineRule="auto"/>
            </w:pPr>
            <w:r>
              <w:rPr>
                <w:sz w:val="18"/>
              </w:rPr>
              <w:t>soma</w:t>
            </w:r>
          </w:p>
        </w:tc>
      </w:tr>
      <w:tr>
        <w:trPr>
          <w:cantSplit w:val="true"/>
        </w:trPr>
        <w:tc>
          <w:tcPr>
            <w:tcW w:type="dxa" w:w="1656"/>
            <w:vAlign w:val="center"/>
            <w:shd w:val="clear" w:color="auto" w:fill="F3F6FA"/>
          </w:tcPr>
          <w:p>
            <w:pPr>
              <w:keepNext/>
              <w:spacing w:after="0" w:line="240" w:lineRule="auto"/>
            </w:pPr>
            <w:r>
              <w:rPr>
                <w:rFonts w:ascii="Consolas" w:hAnsi="Consolas"/>
                <w:sz w:val="18"/>
              </w:rPr>
              <w:t>SP/354250</w:t>
            </w:r>
          </w:p>
        </w:tc>
        <w:tc>
          <w:tcPr>
            <w:tcW w:type="dxa" w:w="864"/>
            <w:vAlign w:val="center"/>
            <w:shd w:val="clear" w:color="auto" w:fill="F3F6FA"/>
          </w:tcPr>
          <w:p>
            <w:pPr>
              <w:keepNext/>
              <w:spacing w:after="0" w:line="240" w:lineRule="auto"/>
            </w:pPr>
            <w:r>
              <w:rPr>
                <w:sz w:val="18"/>
              </w:rPr>
              <w:t>2023</w:t>
            </w:r>
          </w:p>
        </w:tc>
        <w:tc>
          <w:tcPr>
            <w:tcW w:type="dxa" w:w="2088"/>
            <w:vAlign w:val="center"/>
            <w:shd w:val="clear" w:color="auto" w:fill="F3F6FA"/>
          </w:tcPr>
          <w:p>
            <w:pPr>
              <w:keepNext/>
              <w:spacing w:after="0" w:line="240" w:lineRule="auto"/>
            </w:pPr>
            <w:r>
              <w:rPr>
                <w:sz w:val="18"/>
              </w:rPr>
              <w:t>R$ 46.259,88</w:t>
            </w:r>
          </w:p>
        </w:tc>
        <w:tc>
          <w:tcPr>
            <w:tcW w:type="dxa" w:w="2232"/>
            <w:vAlign w:val="center"/>
            <w:shd w:val="clear" w:color="auto" w:fill="F3F6FA"/>
          </w:tcPr>
          <w:p>
            <w:pPr>
              <w:keepNext/>
              <w:spacing w:after="0" w:line="240" w:lineRule="auto"/>
            </w:pPr>
            <w:r>
              <w:rPr>
                <w:sz w:val="18"/>
              </w:rPr>
              <w:t>R$ 336.452,32</w:t>
            </w:r>
          </w:p>
        </w:tc>
        <w:tc>
          <w:tcPr>
            <w:tcW w:type="dxa" w:w="2520"/>
            <w:vAlign w:val="center"/>
            <w:shd w:val="clear" w:color="auto" w:fill="F3F6FA"/>
          </w:tcPr>
          <w:p>
            <w:pPr>
              <w:keepNext/>
              <w:spacing w:after="0" w:line="240" w:lineRule="auto"/>
            </w:pPr>
            <w:r>
              <w:rPr>
                <w:sz w:val="18"/>
              </w:rPr>
              <w:t>soma</w:t>
            </w:r>
          </w:p>
        </w:tc>
      </w:tr>
      <w:tr>
        <w:trPr>
          <w:cantSplit w:val="true"/>
        </w:trPr>
        <w:tc>
          <w:tcPr>
            <w:tcW w:type="dxa" w:w="1656"/>
            <w:vAlign w:val="center"/>
          </w:tcPr>
          <w:p>
            <w:pPr>
              <w:spacing w:after="0" w:line="240" w:lineRule="auto"/>
            </w:pPr>
            <w:r>
              <w:rPr>
                <w:rFonts w:ascii="Consolas" w:hAnsi="Consolas"/>
                <w:sz w:val="18"/>
              </w:rPr>
              <w:t>RN/240990</w:t>
            </w:r>
          </w:p>
        </w:tc>
        <w:tc>
          <w:tcPr>
            <w:tcW w:type="dxa" w:w="864"/>
            <w:vAlign w:val="center"/>
          </w:tcPr>
          <w:p>
            <w:pPr>
              <w:spacing w:after="0" w:line="240" w:lineRule="auto"/>
            </w:pPr>
            <w:r>
              <w:rPr>
                <w:sz w:val="18"/>
              </w:rPr>
              <w:t>2023</w:t>
            </w:r>
          </w:p>
        </w:tc>
        <w:tc>
          <w:tcPr>
            <w:tcW w:type="dxa" w:w="2088"/>
            <w:vAlign w:val="center"/>
          </w:tcPr>
          <w:p>
            <w:pPr>
              <w:spacing w:after="0" w:line="240" w:lineRule="auto"/>
            </w:pPr>
            <w:r>
              <w:rPr>
                <w:sz w:val="18"/>
              </w:rPr>
              <w:t>R$ 5.431,96</w:t>
            </w:r>
          </w:p>
        </w:tc>
        <w:tc>
          <w:tcPr>
            <w:tcW w:type="dxa" w:w="2232"/>
            <w:vAlign w:val="center"/>
          </w:tcPr>
          <w:p>
            <w:pPr>
              <w:spacing w:after="0" w:line="240" w:lineRule="auto"/>
            </w:pPr>
            <w:r>
              <w:rPr>
                <w:sz w:val="18"/>
              </w:rPr>
              <w:t>R$ 156.492,18</w:t>
            </w:r>
          </w:p>
        </w:tc>
        <w:tc>
          <w:tcPr>
            <w:tcW w:type="dxa" w:w="2520"/>
            <w:vAlign w:val="center"/>
          </w:tcPr>
          <w:p>
            <w:pPr>
              <w:spacing w:after="0" w:line="240" w:lineRule="auto"/>
            </w:pPr>
            <w:r>
              <w:rPr>
                <w:sz w:val="18"/>
              </w:rPr>
              <w:t>soma</w:t>
            </w:r>
          </w:p>
        </w:tc>
      </w:tr>
    </w:tbl>
    <w:p>
      <w:pPr>
        <w:spacing w:after="40"/>
      </w:pPr>
    </w:p>
    <w:p>
      <w:pPr>
        <w:pStyle w:val="Heading2"/>
      </w:pPr>
      <w:r>
        <w:t>5.3 Estados — métrica Compensação ICMS</w:t>
      </w:r>
    </w:p>
    <w:p>
      <w:r>
        <w:rPr>
          <w:b/>
        </w:rPr>
        <w:t>Compensação ICMS = 17196200 + 17196300</w:t>
      </w:r>
      <w:r>
        <w:t xml:space="preserve"> (anos 2023 a 2025), cada conta pela regra de valor da seção 5.4. Se algum Estado registrar na rubrica municipal </w:t>
      </w:r>
      <w:r>
        <w:rPr>
          <w:rFonts w:ascii="Consolas" w:hAnsi="Consolas"/>
          <w:sz w:val="20"/>
        </w:rPr>
        <w:t>17295300</w:t>
      </w:r>
      <w:r>
        <w:t xml:space="preserve"> (hoje nenhum), o valor também entra, com a mesma regra de duplicidade da seção 5.2.</w:t>
      </w:r>
    </w:p>
    <w:p>
      <w:r>
        <w:t xml:space="preserve">O </w:t>
      </w:r>
      <w:r>
        <w:rPr>
          <w:b/>
        </w:rPr>
        <w:t>DF</w:t>
      </w:r>
      <w:r>
        <w:t xml:space="preserve"> recebe a compensação como Estado (R$ 388,6 mi em 2023) e por isso ela entra na aba </w:t>
      </w:r>
      <w:r>
        <w:rPr>
          <w:b/>
        </w:rPr>
        <w:t>Estados</w:t>
      </w:r>
      <w:r>
        <w:t>. Na aba Municípios o DF não tem compensação.</w:t>
      </w:r>
    </w:p>
    <w:tbl>
      <w:tblPr>
        <w:tblW w:type="auto" w:w="0"/>
        <w:jc w:val="center"/>
        <w:tblLook w:firstColumn="1" w:firstRow="1" w:lastColumn="0" w:lastRow="0" w:noHBand="0" w:noVBand="1" w:val="04A0"/>
        <w:tblBorders>
          <w:left w:val="single" w:sz="24" w:space="0" w:color="2E75B6"/>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EAF1FB"/>
          </w:tcPr>
          <w:p>
            <w:pPr>
              <w:spacing w:after="40"/>
            </w:pPr>
            <w:r>
              <w:rPr>
                <w:b/>
                <w:color w:val="2E75B6"/>
                <w:sz w:val="20"/>
              </w:rPr>
              <w:t>Cobertura na base de 25/09/2026</w:t>
            </w:r>
          </w:p>
          <w:p>
            <w:pPr>
              <w:spacing w:after="40"/>
            </w:pPr>
            <w:r>
              <w:rPr>
                <w:sz w:val="19"/>
              </w:rPr>
              <w:t xml:space="preserve">2023: 24 Estados · 2024: MA e RS · 2025: BA, CE, ES, GO, MT, PA, PR, RJ e SC. </w:t>
            </w:r>
            <w:r>
              <w:rPr>
                <w:b/>
                <w:sz w:val="19"/>
              </w:rPr>
              <w:t>AL e MG não registram valor em nenhum ano.</w:t>
            </w:r>
            <w:r>
              <w:rPr>
                <w:sz w:val="19"/>
              </w:rPr>
              <w:t xml:space="preserve"> A conta </w:t>
            </w:r>
            <w:r>
              <w:rPr>
                <w:rFonts w:ascii="Consolas" w:hAnsi="Consolas"/>
                <w:sz w:val="18"/>
              </w:rPr>
              <w:t>17196300</w:t>
            </w:r>
            <w:r>
              <w:rPr>
                <w:sz w:val="19"/>
              </w:rPr>
              <w:t xml:space="preserve"> não tem valor para nenhum Estado.</w:t>
            </w:r>
          </w:p>
        </w:tc>
      </w:tr>
    </w:tbl>
    <w:p>
      <w:pPr>
        <w:spacing w:after="40"/>
      </w:pPr>
    </w:p>
    <w:p>
      <w:pPr>
        <w:pStyle w:val="Heading2"/>
      </w:pPr>
      <w:r>
        <w:t>5.4 Regra de valor: limiar de 10%</w:t>
      </w:r>
    </w:p>
    <w:p>
      <w:r>
        <w:t xml:space="preserve">A Compensação ICMS segue o </w:t>
      </w:r>
      <w:r>
        <w:rPr>
          <w:b/>
        </w:rPr>
        <w:t>mesmo limiar do ICMS dos Estados</w:t>
      </w:r>
      <w:r>
        <w:t xml:space="preserve"> (seção 4.1), nos dois grupos. Para cada conta: se a dedução for </w:t>
      </w:r>
      <w:r>
        <w:rPr>
          <w:b/>
        </w:rPr>
        <w:t>maior que 10%</w:t>
      </w:r>
      <w:r>
        <w:t xml:space="preserve"> da receita realizada, considerar </w:t>
      </w:r>
      <w:r>
        <w:rPr>
          <w:b/>
        </w:rPr>
        <w:t>apenas</w:t>
      </w:r>
      <w:r>
        <w:t xml:space="preserve"> </w:t>
      </w:r>
      <w:r>
        <w:rPr>
          <w:rFonts w:ascii="Consolas" w:hAnsi="Consolas"/>
          <w:sz w:val="20"/>
        </w:rPr>
        <w:t>vlr_receita_realizada</w:t>
      </w:r>
      <w:r>
        <w:t xml:space="preserve">; caso contrário, </w:t>
      </w:r>
      <w:r>
        <w:rPr>
          <w:rFonts w:ascii="Consolas" w:hAnsi="Consolas"/>
          <w:sz w:val="20"/>
        </w:rPr>
        <w:t>|vlr_receita_realizada| − |vlr_outras_deducoes|</w:t>
      </w:r>
      <w:r>
        <w:t>. A dedução do FUNDEB não é descontada (seção 1).</w:t>
      </w:r>
    </w:p>
    <w:tbl>
      <w:tblPr>
        <w:tblW w:type="auto" w:w="0"/>
        <w:jc w:val="center"/>
        <w:tblLook w:firstColumn="1" w:firstRow="1" w:lastColumn="0" w:lastRow="0" w:noHBand="0" w:noVBand="1" w:val="04A0"/>
        <w:tblBorders>
          <w:left w:val="single" w:sz="24" w:space="0" w:color="2E75B6"/>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EAF1FB"/>
          </w:tcPr>
          <w:p>
            <w:pPr>
              <w:spacing w:after="40"/>
            </w:pPr>
            <w:r>
              <w:rPr>
                <w:b/>
                <w:color w:val="2E75B6"/>
                <w:sz w:val="20"/>
              </w:rPr>
              <w:t>Por que o limiar também vale aqui</w:t>
            </w:r>
          </w:p>
          <w:p>
            <w:pPr>
              <w:spacing w:after="20"/>
              <w:ind w:left="259" w:hanging="202"/>
            </w:pPr>
            <w:r>
              <w:rPr>
                <w:sz w:val="19"/>
              </w:rPr>
              <w:t xml:space="preserve">•  </w:t>
            </w:r>
            <w:r>
              <w:rPr>
                <w:b/>
                <w:sz w:val="19"/>
              </w:rPr>
              <w:t>Estados:</w:t>
            </w:r>
            <w:r>
              <w:rPr>
                <w:sz w:val="19"/>
              </w:rPr>
              <w:t xml:space="preserve"> PA (2023 e 2025) e BA (2025) deduzem </w:t>
            </w:r>
            <w:r>
              <w:rPr>
                <w:b/>
                <w:sz w:val="19"/>
              </w:rPr>
              <w:t>exatamente 25,0%</w:t>
            </w:r>
            <w:r>
              <w:rPr>
                <w:sz w:val="19"/>
              </w:rPr>
              <w:t xml:space="preserve"> da compensação, que é o repasse aos Municípios lançado como dedução. Nos demais casos a dedução é zero ou, no máximo, 0,2% (GO/2023).</w:t>
            </w:r>
          </w:p>
          <w:p>
            <w:pPr>
              <w:spacing w:after="20"/>
              <w:ind w:left="259" w:hanging="202"/>
            </w:pPr>
            <w:r>
              <w:rPr>
                <w:sz w:val="19"/>
              </w:rPr>
              <w:t xml:space="preserve">•  </w:t>
            </w:r>
            <w:r>
              <w:rPr>
                <w:b/>
                <w:sz w:val="19"/>
              </w:rPr>
              <w:t>Municípios:</w:t>
            </w:r>
            <w:r>
              <w:rPr>
                <w:sz w:val="19"/>
              </w:rPr>
              <w:t xml:space="preserve"> das 119 linhas com dedução, </w:t>
            </w:r>
            <w:r>
              <w:rPr>
                <w:b/>
                <w:sz w:val="19"/>
              </w:rPr>
              <w:t>76 são exatamente 20%</w:t>
            </w:r>
            <w:r>
              <w:rPr>
                <w:sz w:val="19"/>
              </w:rPr>
              <w:t xml:space="preserve"> (o FUNDEB lançado como outra dedução), e 114 passam de 10%.</w:t>
            </w:r>
          </w:p>
        </w:tc>
      </w:tr>
    </w:tbl>
    <w:p>
      <w:pPr>
        <w:spacing w:after="40"/>
      </w:pPr>
    </w:p>
    <w:p>
      <w:pPr>
        <w:pStyle w:val="Heading2"/>
      </w:pPr>
      <w:r>
        <w:t>5.5 Contas relacionadas que não entram</w:t>
      </w:r>
    </w:p>
    <w:p>
      <w:pPr>
        <w:keepNext/>
      </w:pPr>
      <w:r>
        <w:t xml:space="preserve">A métrica cobre apenas a compensação das perdas de ICMS da LC 194/2022. Estas contas, embora ligadas ao ICMS ou com “compensação” no nome, </w:t>
      </w:r>
      <w:r>
        <w:rPr>
          <w:b/>
        </w:rPr>
        <w:t>não entram</w:t>
      </w:r>
      <w:r>
        <w:t>:</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3120"/>
        <w:gridCol w:w="3120"/>
        <w:gridCol w:w="3120"/>
      </w:tblGrid>
      <w:tr>
        <w:trPr>
          <w:tblHeader w:val="true"/>
        </w:trPr>
        <w:tc>
          <w:tcPr>
            <w:tcW w:type="dxa" w:w="2520"/>
            <w:shd w:val="clear" w:color="auto" w:fill="1F3864"/>
            <w:vAlign w:val="center"/>
          </w:tcPr>
          <w:p>
            <w:pPr>
              <w:keepNext/>
              <w:spacing w:after="0"/>
            </w:pPr>
            <w:r>
              <w:rPr>
                <w:b/>
                <w:color w:val="FFFFFF"/>
                <w:sz w:val="18"/>
              </w:rPr>
              <w:t>Conta(s)</w:t>
            </w:r>
          </w:p>
        </w:tc>
        <w:tc>
          <w:tcPr>
            <w:tcW w:type="dxa" w:w="5544"/>
            <w:shd w:val="clear" w:color="auto" w:fill="1F3864"/>
            <w:vAlign w:val="center"/>
          </w:tcPr>
          <w:p>
            <w:pPr>
              <w:keepNext/>
              <w:spacing w:after="0"/>
            </w:pPr>
            <w:r>
              <w:rPr>
                <w:b/>
                <w:color w:val="FFFFFF"/>
                <w:sz w:val="18"/>
              </w:rPr>
              <w:t>Descrição</w:t>
            </w:r>
          </w:p>
        </w:tc>
        <w:tc>
          <w:tcPr>
            <w:tcW w:type="dxa" w:w="1296"/>
            <w:shd w:val="clear" w:color="auto" w:fill="1F3864"/>
            <w:vAlign w:val="center"/>
          </w:tcPr>
          <w:p>
            <w:pPr>
              <w:keepNext/>
              <w:spacing w:after="0"/>
            </w:pPr>
            <w:r>
              <w:rPr>
                <w:b/>
                <w:color w:val="FFFFFF"/>
                <w:sz w:val="18"/>
              </w:rPr>
              <w:t>Período</w:t>
            </w:r>
          </w:p>
        </w:tc>
      </w:tr>
      <w:tr>
        <w:trPr>
          <w:cantSplit w:val="true"/>
        </w:trPr>
        <w:tc>
          <w:tcPr>
            <w:tcW w:type="dxa" w:w="2520"/>
            <w:vAlign w:val="center"/>
          </w:tcPr>
          <w:p>
            <w:pPr>
              <w:keepNext/>
              <w:spacing w:after="0" w:line="240" w:lineRule="auto"/>
            </w:pPr>
            <w:r>
              <w:rPr>
                <w:rFonts w:ascii="Consolas" w:hAnsi="Consolas"/>
                <w:sz w:val="18"/>
              </w:rPr>
              <w:t>17195800</w:t>
            </w:r>
          </w:p>
        </w:tc>
        <w:tc>
          <w:tcPr>
            <w:tcW w:type="dxa" w:w="5544"/>
            <w:vAlign w:val="center"/>
          </w:tcPr>
          <w:p>
            <w:pPr>
              <w:keepNext/>
              <w:spacing w:after="0" w:line="240" w:lineRule="auto"/>
            </w:pPr>
            <w:r>
              <w:rPr>
                <w:sz w:val="18"/>
              </w:rPr>
              <w:t>Transferência Obrigatória Decorrente da LC nº 176/2020 (acordo da Lei Kandir)</w:t>
            </w:r>
          </w:p>
        </w:tc>
        <w:tc>
          <w:tcPr>
            <w:tcW w:type="dxa" w:w="1296"/>
            <w:vAlign w:val="center"/>
          </w:tcPr>
          <w:p>
            <w:pPr>
              <w:keepNext/>
              <w:spacing w:after="0" w:line="240" w:lineRule="auto"/>
            </w:pPr>
            <w:r>
              <w:rPr>
                <w:sz w:val="18"/>
              </w:rPr>
              <w:t>2022–2025</w:t>
            </w:r>
          </w:p>
        </w:tc>
      </w:tr>
      <w:tr>
        <w:trPr>
          <w:cantSplit w:val="true"/>
        </w:trPr>
        <w:tc>
          <w:tcPr>
            <w:tcW w:type="dxa" w:w="2520"/>
            <w:vAlign w:val="center"/>
            <w:shd w:val="clear" w:color="auto" w:fill="F3F6FA"/>
          </w:tcPr>
          <w:p>
            <w:pPr>
              <w:keepNext/>
              <w:spacing w:after="0" w:line="240" w:lineRule="auto"/>
            </w:pPr>
            <w:r>
              <w:rPr>
                <w:rFonts w:ascii="Consolas" w:hAnsi="Consolas"/>
                <w:sz w:val="18"/>
              </w:rPr>
              <w:t>17196100</w:t>
            </w:r>
          </w:p>
        </w:tc>
        <w:tc>
          <w:tcPr>
            <w:tcW w:type="dxa" w:w="5544"/>
            <w:vAlign w:val="center"/>
            <w:shd w:val="clear" w:color="auto" w:fill="F3F6FA"/>
          </w:tcPr>
          <w:p>
            <w:pPr>
              <w:keepNext/>
              <w:spacing w:after="0" w:line="240" w:lineRule="auto"/>
            </w:pPr>
            <w:r>
              <w:rPr>
                <w:sz w:val="18"/>
              </w:rPr>
              <w:t>Auxílio Financeiro – Outorga Crédito Tributário ICMS – Art. 5º, Inciso V, EC nº 123/2022</w:t>
            </w:r>
          </w:p>
        </w:tc>
        <w:tc>
          <w:tcPr>
            <w:tcW w:type="dxa" w:w="1296"/>
            <w:vAlign w:val="center"/>
            <w:shd w:val="clear" w:color="auto" w:fill="F3F6FA"/>
          </w:tcPr>
          <w:p>
            <w:pPr>
              <w:keepNext/>
              <w:spacing w:after="0" w:line="240" w:lineRule="auto"/>
            </w:pPr>
            <w:r>
              <w:rPr>
                <w:sz w:val="18"/>
              </w:rPr>
              <w:t>2022–2025</w:t>
            </w:r>
          </w:p>
        </w:tc>
      </w:tr>
      <w:tr>
        <w:trPr>
          <w:cantSplit w:val="true"/>
        </w:trPr>
        <w:tc>
          <w:tcPr>
            <w:tcW w:type="dxa" w:w="2520"/>
            <w:vAlign w:val="center"/>
          </w:tcPr>
          <w:p>
            <w:pPr>
              <w:keepNext/>
              <w:spacing w:after="0" w:line="240" w:lineRule="auto"/>
            </w:pPr>
            <w:r>
              <w:rPr>
                <w:rFonts w:ascii="Consolas" w:hAnsi="Consolas"/>
                <w:sz w:val="18"/>
              </w:rPr>
              <w:t>17180600 / 41721360000</w:t>
            </w:r>
          </w:p>
        </w:tc>
        <w:tc>
          <w:tcPr>
            <w:tcW w:type="dxa" w:w="5544"/>
            <w:vAlign w:val="center"/>
          </w:tcPr>
          <w:p>
            <w:pPr>
              <w:keepNext/>
              <w:spacing w:after="0" w:line="240" w:lineRule="auto"/>
            </w:pPr>
            <w:r>
              <w:rPr>
                <w:sz w:val="18"/>
              </w:rPr>
              <w:t>Transferência Financeira do ICMS – Desoneração – LC nº 87/96 (Lei Kandir)</w:t>
            </w:r>
          </w:p>
        </w:tc>
        <w:tc>
          <w:tcPr>
            <w:tcW w:type="dxa" w:w="1296"/>
            <w:vAlign w:val="center"/>
          </w:tcPr>
          <w:p>
            <w:pPr>
              <w:keepNext/>
              <w:spacing w:after="0" w:line="240" w:lineRule="auto"/>
            </w:pPr>
            <w:r>
              <w:rPr>
                <w:sz w:val="18"/>
              </w:rPr>
              <w:t>2019–2022</w:t>
            </w:r>
          </w:p>
        </w:tc>
      </w:tr>
      <w:tr>
        <w:trPr>
          <w:cantSplit w:val="true"/>
        </w:trPr>
        <w:tc>
          <w:tcPr>
            <w:tcW w:type="dxa" w:w="2520"/>
            <w:vAlign w:val="center"/>
            <w:shd w:val="clear" w:color="auto" w:fill="F3F6FA"/>
          </w:tcPr>
          <w:p>
            <w:pPr>
              <w:keepNext/>
              <w:spacing w:after="0" w:line="240" w:lineRule="auto"/>
            </w:pPr>
            <w:r>
              <w:rPr>
                <w:rFonts w:ascii="Consolas" w:hAnsi="Consolas"/>
                <w:sz w:val="18"/>
              </w:rPr>
              <w:t>41721220000, 41722220000, 17180200, 17280200, 17120000, 17220000 (e desdobramentos)</w:t>
            </w:r>
          </w:p>
        </w:tc>
        <w:tc>
          <w:tcPr>
            <w:tcW w:type="dxa" w:w="5544"/>
            <w:vAlign w:val="center"/>
            <w:shd w:val="clear" w:color="auto" w:fill="F3F6FA"/>
          </w:tcPr>
          <w:p>
            <w:pPr>
              <w:keepNext/>
              <w:spacing w:after="0" w:line="240" w:lineRule="auto"/>
            </w:pPr>
            <w:r>
              <w:rPr>
                <w:sz w:val="18"/>
              </w:rPr>
              <w:t>Compensações financeiras pela exploração de recursos naturais (royalties de petróleo, CFEM, recursos hídricos)</w:t>
            </w:r>
          </w:p>
        </w:tc>
        <w:tc>
          <w:tcPr>
            <w:tcW w:type="dxa" w:w="1296"/>
            <w:vAlign w:val="center"/>
            <w:shd w:val="clear" w:color="auto" w:fill="F3F6FA"/>
          </w:tcPr>
          <w:p>
            <w:pPr>
              <w:keepNext/>
              <w:spacing w:after="0" w:line="240" w:lineRule="auto"/>
            </w:pPr>
            <w:r>
              <w:rPr>
                <w:sz w:val="18"/>
              </w:rPr>
              <w:t>2019–2025</w:t>
            </w:r>
          </w:p>
        </w:tc>
      </w:tr>
      <w:tr>
        <w:trPr>
          <w:cantSplit w:val="true"/>
        </w:trPr>
        <w:tc>
          <w:tcPr>
            <w:tcW w:type="dxa" w:w="2520"/>
            <w:vAlign w:val="center"/>
          </w:tcPr>
          <w:p>
            <w:pPr>
              <w:spacing w:after="0" w:line="240" w:lineRule="auto"/>
            </w:pPr>
            <w:r>
              <w:rPr>
                <w:rFonts w:ascii="Consolas" w:hAnsi="Consolas"/>
                <w:sz w:val="18"/>
              </w:rPr>
              <w:t>19900300 / 19990300</w:t>
            </w:r>
          </w:p>
        </w:tc>
        <w:tc>
          <w:tcPr>
            <w:tcW w:type="dxa" w:w="5544"/>
            <w:vAlign w:val="center"/>
          </w:tcPr>
          <w:p>
            <w:pPr>
              <w:spacing w:after="0" w:line="240" w:lineRule="auto"/>
            </w:pPr>
            <w:r>
              <w:rPr>
                <w:sz w:val="18"/>
              </w:rPr>
              <w:t>Compensações financeiras entre regimes de previdência (RGPS/RPPS)</w:t>
            </w:r>
          </w:p>
        </w:tc>
        <w:tc>
          <w:tcPr>
            <w:tcW w:type="dxa" w:w="1296"/>
            <w:vAlign w:val="center"/>
          </w:tcPr>
          <w:p>
            <w:pPr>
              <w:spacing w:after="0" w:line="240" w:lineRule="auto"/>
            </w:pPr>
            <w:r>
              <w:rPr>
                <w:sz w:val="18"/>
              </w:rPr>
              <w:t>2021–2025</w:t>
            </w:r>
          </w:p>
        </w:tc>
      </w:tr>
    </w:tbl>
    <w:p>
      <w:pPr>
        <w:spacing w:after="40"/>
      </w:pPr>
    </w:p>
    <w:p>
      <w:pPr>
        <w:pStyle w:val="Heading1"/>
      </w:pPr>
      <w:r>
        <w:t>6. Resumo: contas por métrica</w:t>
      </w:r>
    </w:p>
    <w:p>
      <w:pPr>
        <w:keepNext/>
      </w:pPr>
      <w:r>
        <w:t>Visão compacta para conferência rápida. Contas separadas por “+” são somadas; “−” indica dedução.</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2340"/>
        <w:gridCol w:w="2340"/>
        <w:gridCol w:w="2340"/>
        <w:gridCol w:w="2340"/>
      </w:tblGrid>
      <w:tr>
        <w:trPr>
          <w:tblHeader w:val="true"/>
        </w:trPr>
        <w:tc>
          <w:tcPr>
            <w:tcW w:type="dxa" w:w="2304"/>
            <w:shd w:val="clear" w:color="auto" w:fill="1F3864"/>
            <w:vAlign w:val="center"/>
          </w:tcPr>
          <w:p>
            <w:pPr>
              <w:keepNext/>
              <w:spacing w:after="0"/>
            </w:pPr>
            <w:r>
              <w:rPr>
                <w:b/>
                <w:color w:val="FFFFFF"/>
                <w:sz w:val="17"/>
              </w:rPr>
              <w:t>Métrica</w:t>
            </w:r>
          </w:p>
        </w:tc>
        <w:tc>
          <w:tcPr>
            <w:tcW w:type="dxa" w:w="2376"/>
            <w:shd w:val="clear" w:color="auto" w:fill="1F3864"/>
            <w:vAlign w:val="center"/>
          </w:tcPr>
          <w:p>
            <w:pPr>
              <w:keepNext/>
              <w:spacing w:after="0"/>
            </w:pPr>
            <w:r>
              <w:rPr>
                <w:b/>
                <w:color w:val="FFFFFF"/>
                <w:sz w:val="17"/>
              </w:rPr>
              <w:t>2019–2020</w:t>
            </w:r>
          </w:p>
        </w:tc>
        <w:tc>
          <w:tcPr>
            <w:tcW w:type="dxa" w:w="2340"/>
            <w:shd w:val="clear" w:color="auto" w:fill="1F3864"/>
            <w:vAlign w:val="center"/>
          </w:tcPr>
          <w:p>
            <w:pPr>
              <w:keepNext/>
              <w:spacing w:after="0"/>
            </w:pPr>
            <w:r>
              <w:rPr>
                <w:b/>
                <w:color w:val="FFFFFF"/>
                <w:sz w:val="17"/>
              </w:rPr>
              <w:t>2021–2022</w:t>
            </w:r>
          </w:p>
        </w:tc>
        <w:tc>
          <w:tcPr>
            <w:tcW w:type="dxa" w:w="2340"/>
            <w:shd w:val="clear" w:color="auto" w:fill="1F3864"/>
            <w:vAlign w:val="center"/>
          </w:tcPr>
          <w:p>
            <w:pPr>
              <w:keepNext/>
              <w:spacing w:after="0"/>
            </w:pPr>
            <w:r>
              <w:rPr>
                <w:b/>
                <w:color w:val="FFFFFF"/>
                <w:sz w:val="17"/>
              </w:rPr>
              <w:t>2023–2025</w:t>
            </w:r>
          </w:p>
        </w:tc>
      </w:tr>
      <w:tr>
        <w:trPr>
          <w:cantSplit w:val="true"/>
        </w:trPr>
        <w:tc>
          <w:tcPr>
            <w:tcW w:type="dxa" w:w="2304"/>
            <w:vAlign w:val="center"/>
          </w:tcPr>
          <w:p>
            <w:pPr>
              <w:keepNext/>
              <w:spacing w:after="0" w:line="240" w:lineRule="auto"/>
            </w:pPr>
            <w:r>
              <w:rPr>
                <w:sz w:val="17"/>
              </w:rPr>
              <w:t>ISS Principal</w:t>
            </w:r>
          </w:p>
        </w:tc>
        <w:tc>
          <w:tcPr>
            <w:tcW w:type="dxa" w:w="2376"/>
            <w:vAlign w:val="center"/>
          </w:tcPr>
          <w:p>
            <w:pPr>
              <w:keepNext/>
              <w:spacing w:after="0" w:line="240" w:lineRule="auto"/>
            </w:pPr>
            <w:r>
              <w:rPr>
                <w:rFonts w:ascii="Consolas" w:hAnsi="Consolas"/>
                <w:sz w:val="17"/>
              </w:rPr>
              <w:t>41113050100 − 49111305000</w:t>
            </w:r>
          </w:p>
        </w:tc>
        <w:tc>
          <w:tcPr>
            <w:tcW w:type="dxa" w:w="2340"/>
            <w:vAlign w:val="center"/>
          </w:tcPr>
          <w:p>
            <w:pPr>
              <w:keepNext/>
              <w:spacing w:after="0" w:line="240" w:lineRule="auto"/>
            </w:pPr>
            <w:r>
              <w:rPr>
                <w:rFonts w:ascii="Consolas" w:hAnsi="Consolas"/>
                <w:sz w:val="17"/>
              </w:rPr>
              <w:t>11180231</w:t>
            </w:r>
          </w:p>
        </w:tc>
        <w:tc>
          <w:tcPr>
            <w:tcW w:type="dxa" w:w="2340"/>
            <w:vAlign w:val="center"/>
          </w:tcPr>
          <w:p>
            <w:pPr>
              <w:keepNext/>
              <w:spacing w:after="0" w:line="240" w:lineRule="auto"/>
            </w:pPr>
            <w:r>
              <w:rPr>
                <w:rFonts w:ascii="Consolas" w:hAnsi="Consolas"/>
                <w:sz w:val="17"/>
              </w:rPr>
              <w:t>11145111</w:t>
            </w:r>
          </w:p>
        </w:tc>
      </w:tr>
      <w:tr>
        <w:trPr>
          <w:cantSplit w:val="true"/>
        </w:trPr>
        <w:tc>
          <w:tcPr>
            <w:tcW w:type="dxa" w:w="2304"/>
            <w:vAlign w:val="center"/>
            <w:shd w:val="clear" w:color="auto" w:fill="F3F6FA"/>
          </w:tcPr>
          <w:p>
            <w:pPr>
              <w:keepNext/>
              <w:spacing w:after="0" w:line="240" w:lineRule="auto"/>
            </w:pPr>
            <w:r>
              <w:rPr>
                <w:sz w:val="17"/>
              </w:rPr>
              <w:t>ISS Multas e Juros Mora</w:t>
            </w:r>
          </w:p>
        </w:tc>
        <w:tc>
          <w:tcPr>
            <w:tcW w:type="dxa" w:w="2376"/>
            <w:vAlign w:val="center"/>
            <w:shd w:val="clear" w:color="auto" w:fill="F3F6FA"/>
          </w:tcPr>
          <w:p>
            <w:pPr>
              <w:keepNext/>
              <w:spacing w:after="0" w:line="240" w:lineRule="auto"/>
            </w:pPr>
            <w:r>
              <w:rPr>
                <w:rFonts w:ascii="Consolas" w:hAnsi="Consolas"/>
                <w:sz w:val="17"/>
              </w:rPr>
              <w:t>41911400000</w:t>
            </w:r>
          </w:p>
        </w:tc>
        <w:tc>
          <w:tcPr>
            <w:tcW w:type="dxa" w:w="2340"/>
            <w:vAlign w:val="center"/>
            <w:shd w:val="clear" w:color="auto" w:fill="F3F6FA"/>
          </w:tcPr>
          <w:p>
            <w:pPr>
              <w:keepNext/>
              <w:spacing w:after="0" w:line="240" w:lineRule="auto"/>
            </w:pPr>
            <w:r>
              <w:rPr>
                <w:rFonts w:ascii="Consolas" w:hAnsi="Consolas"/>
                <w:sz w:val="17"/>
              </w:rPr>
              <w:t>11180232 + 11180235 + 11180236</w:t>
            </w:r>
          </w:p>
        </w:tc>
        <w:tc>
          <w:tcPr>
            <w:tcW w:type="dxa" w:w="2340"/>
            <w:vAlign w:val="center"/>
            <w:shd w:val="clear" w:color="auto" w:fill="F3F6FA"/>
          </w:tcPr>
          <w:p>
            <w:pPr>
              <w:keepNext/>
              <w:spacing w:after="0" w:line="240" w:lineRule="auto"/>
            </w:pPr>
            <w:r>
              <w:rPr>
                <w:rFonts w:ascii="Consolas" w:hAnsi="Consolas"/>
                <w:sz w:val="17"/>
              </w:rPr>
              <w:t>11145112 + 11145115 + 11145116</w:t>
            </w:r>
          </w:p>
        </w:tc>
      </w:tr>
      <w:tr>
        <w:trPr>
          <w:cantSplit w:val="true"/>
        </w:trPr>
        <w:tc>
          <w:tcPr>
            <w:tcW w:type="dxa" w:w="2304"/>
            <w:vAlign w:val="center"/>
          </w:tcPr>
          <w:p>
            <w:pPr>
              <w:keepNext/>
              <w:spacing w:after="0" w:line="240" w:lineRule="auto"/>
            </w:pPr>
            <w:r>
              <w:rPr>
                <w:sz w:val="17"/>
              </w:rPr>
              <w:t>ISS DA – Principal</w:t>
            </w:r>
          </w:p>
        </w:tc>
        <w:tc>
          <w:tcPr>
            <w:tcW w:type="dxa" w:w="2376"/>
            <w:vAlign w:val="center"/>
          </w:tcPr>
          <w:p>
            <w:pPr>
              <w:keepNext/>
              <w:spacing w:after="0" w:line="240" w:lineRule="auto"/>
            </w:pPr>
            <w:r>
              <w:rPr>
                <w:rFonts w:ascii="Consolas" w:hAnsi="Consolas"/>
                <w:sz w:val="17"/>
              </w:rPr>
              <w:t>41931130000</w:t>
            </w:r>
          </w:p>
        </w:tc>
        <w:tc>
          <w:tcPr>
            <w:tcW w:type="dxa" w:w="2340"/>
            <w:vAlign w:val="center"/>
          </w:tcPr>
          <w:p>
            <w:pPr>
              <w:keepNext/>
              <w:spacing w:after="0" w:line="240" w:lineRule="auto"/>
            </w:pPr>
            <w:r>
              <w:rPr>
                <w:rFonts w:ascii="Consolas" w:hAnsi="Consolas"/>
                <w:sz w:val="17"/>
              </w:rPr>
              <w:t>11180233</w:t>
            </w:r>
          </w:p>
        </w:tc>
        <w:tc>
          <w:tcPr>
            <w:tcW w:type="dxa" w:w="2340"/>
            <w:vAlign w:val="center"/>
          </w:tcPr>
          <w:p>
            <w:pPr>
              <w:keepNext/>
              <w:spacing w:after="0" w:line="240" w:lineRule="auto"/>
            </w:pPr>
            <w:r>
              <w:rPr>
                <w:rFonts w:ascii="Consolas" w:hAnsi="Consolas"/>
                <w:sz w:val="17"/>
              </w:rPr>
              <w:t>11145113</w:t>
            </w:r>
          </w:p>
        </w:tc>
      </w:tr>
      <w:tr>
        <w:trPr>
          <w:cantSplit w:val="true"/>
        </w:trPr>
        <w:tc>
          <w:tcPr>
            <w:tcW w:type="dxa" w:w="2304"/>
            <w:vAlign w:val="center"/>
            <w:shd w:val="clear" w:color="auto" w:fill="F3F6FA"/>
          </w:tcPr>
          <w:p>
            <w:pPr>
              <w:keepNext/>
              <w:spacing w:after="0" w:line="240" w:lineRule="auto"/>
            </w:pPr>
            <w:r>
              <w:rPr>
                <w:sz w:val="17"/>
              </w:rPr>
              <w:t>ISS DA – Multas e Juros</w:t>
            </w:r>
          </w:p>
        </w:tc>
        <w:tc>
          <w:tcPr>
            <w:tcW w:type="dxa" w:w="2376"/>
            <w:vAlign w:val="center"/>
            <w:shd w:val="clear" w:color="auto" w:fill="F3F6FA"/>
          </w:tcPr>
          <w:p>
            <w:pPr>
              <w:keepNext/>
              <w:spacing w:after="0" w:line="240" w:lineRule="auto"/>
            </w:pPr>
            <w:r>
              <w:rPr>
                <w:rFonts w:ascii="Consolas" w:hAnsi="Consolas"/>
                <w:sz w:val="17"/>
              </w:rPr>
              <w:t>41913130000</w:t>
            </w:r>
          </w:p>
        </w:tc>
        <w:tc>
          <w:tcPr>
            <w:tcW w:type="dxa" w:w="2340"/>
            <w:vAlign w:val="center"/>
            <w:shd w:val="clear" w:color="auto" w:fill="F3F6FA"/>
          </w:tcPr>
          <w:p>
            <w:pPr>
              <w:keepNext/>
              <w:spacing w:after="0" w:line="240" w:lineRule="auto"/>
            </w:pPr>
            <w:r>
              <w:rPr>
                <w:rFonts w:ascii="Consolas" w:hAnsi="Consolas"/>
                <w:sz w:val="17"/>
              </w:rPr>
              <w:t>11180234 + 11180237 + 11180238</w:t>
            </w:r>
          </w:p>
        </w:tc>
        <w:tc>
          <w:tcPr>
            <w:tcW w:type="dxa" w:w="2340"/>
            <w:vAlign w:val="center"/>
            <w:shd w:val="clear" w:color="auto" w:fill="F3F6FA"/>
          </w:tcPr>
          <w:p>
            <w:pPr>
              <w:keepNext/>
              <w:spacing w:after="0" w:line="240" w:lineRule="auto"/>
            </w:pPr>
            <w:r>
              <w:rPr>
                <w:rFonts w:ascii="Consolas" w:hAnsi="Consolas"/>
                <w:sz w:val="17"/>
              </w:rPr>
              <w:t>11145114 + 11145117 + 11145118</w:t>
            </w:r>
          </w:p>
        </w:tc>
      </w:tr>
      <w:tr>
        <w:trPr>
          <w:cantSplit w:val="true"/>
        </w:trPr>
        <w:tc>
          <w:tcPr>
            <w:tcW w:type="dxa" w:w="2304"/>
            <w:vAlign w:val="center"/>
          </w:tcPr>
          <w:p>
            <w:pPr>
              <w:keepNext/>
              <w:spacing w:after="0" w:line="240" w:lineRule="auto"/>
            </w:pPr>
            <w:r>
              <w:rPr>
                <w:sz w:val="17"/>
              </w:rPr>
              <w:t>ISS FECOP</w:t>
            </w:r>
          </w:p>
        </w:tc>
        <w:tc>
          <w:tcPr>
            <w:tcW w:type="dxa" w:w="2376"/>
            <w:vAlign w:val="center"/>
          </w:tcPr>
          <w:p>
            <w:pPr>
              <w:keepNext/>
              <w:spacing w:after="0" w:line="240" w:lineRule="auto"/>
            </w:pPr>
            <w:r>
              <w:rPr>
                <w:rFonts w:ascii="Consolas" w:hAnsi="Consolas"/>
                <w:sz w:val="17"/>
              </w:rPr>
              <w:t>41113050200</w:t>
            </w:r>
          </w:p>
        </w:tc>
        <w:tc>
          <w:tcPr>
            <w:tcW w:type="dxa" w:w="2340"/>
            <w:vAlign w:val="center"/>
          </w:tcPr>
          <w:p>
            <w:pPr>
              <w:keepNext/>
              <w:spacing w:after="0" w:line="240" w:lineRule="auto"/>
            </w:pPr>
            <w:r>
              <w:rPr>
                <w:rFonts w:ascii="Consolas" w:hAnsi="Consolas"/>
                <w:sz w:val="17"/>
              </w:rPr>
              <w:t>11180240</w:t>
            </w:r>
          </w:p>
        </w:tc>
        <w:tc>
          <w:tcPr>
            <w:tcW w:type="dxa" w:w="2340"/>
            <w:vAlign w:val="center"/>
          </w:tcPr>
          <w:p>
            <w:pPr>
              <w:keepNext/>
              <w:spacing w:after="0" w:line="240" w:lineRule="auto"/>
            </w:pPr>
            <w:r>
              <w:rPr>
                <w:rFonts w:ascii="Consolas" w:hAnsi="Consolas"/>
                <w:sz w:val="17"/>
              </w:rPr>
              <w:t>11145120</w:t>
            </w:r>
          </w:p>
        </w:tc>
      </w:tr>
      <w:tr>
        <w:trPr>
          <w:cantSplit w:val="true"/>
        </w:trPr>
        <w:tc>
          <w:tcPr>
            <w:tcW w:type="dxa" w:w="2304"/>
            <w:vAlign w:val="center"/>
            <w:shd w:val="clear" w:color="auto" w:fill="F3F6FA"/>
          </w:tcPr>
          <w:p>
            <w:pPr>
              <w:keepNext/>
              <w:spacing w:after="0" w:line="240" w:lineRule="auto"/>
            </w:pPr>
            <w:r>
              <w:rPr>
                <w:sz w:val="17"/>
              </w:rPr>
              <w:t>ISS Principal (DF)</w:t>
            </w:r>
          </w:p>
        </w:tc>
        <w:tc>
          <w:tcPr>
            <w:tcW w:type="dxa" w:w="2376"/>
            <w:vAlign w:val="center"/>
            <w:shd w:val="clear" w:color="auto" w:fill="F3F6FA"/>
          </w:tcPr>
          <w:p>
            <w:pPr>
              <w:keepNext/>
              <w:spacing w:after="0" w:line="240" w:lineRule="auto"/>
            </w:pPr>
            <w:r>
              <w:rPr>
                <w:rFonts w:ascii="Consolas" w:hAnsi="Consolas"/>
                <w:sz w:val="17"/>
              </w:rPr>
              <w:t>41113050000 − 49111305000</w:t>
            </w:r>
          </w:p>
        </w:tc>
        <w:tc>
          <w:tcPr>
            <w:tcW w:type="dxa" w:w="2340"/>
            <w:vAlign w:val="center"/>
            <w:shd w:val="clear" w:color="auto" w:fill="F3F6FA"/>
          </w:tcPr>
          <w:p>
            <w:pPr>
              <w:keepNext/>
              <w:spacing w:after="0" w:line="240" w:lineRule="auto"/>
            </w:pPr>
            <w:r>
              <w:rPr>
                <w:rFonts w:ascii="Consolas" w:hAnsi="Consolas"/>
                <w:sz w:val="17"/>
              </w:rPr>
              <w:t>= municípios</w:t>
            </w:r>
          </w:p>
        </w:tc>
        <w:tc>
          <w:tcPr>
            <w:tcW w:type="dxa" w:w="2340"/>
            <w:vAlign w:val="center"/>
            <w:shd w:val="clear" w:color="auto" w:fill="F3F6FA"/>
          </w:tcPr>
          <w:p>
            <w:pPr>
              <w:keepNext/>
              <w:spacing w:after="0" w:line="240" w:lineRule="auto"/>
            </w:pPr>
            <w:r>
              <w:rPr>
                <w:rFonts w:ascii="Consolas" w:hAnsi="Consolas"/>
                <w:sz w:val="17"/>
              </w:rPr>
              <w:t>= municípios</w:t>
            </w:r>
          </w:p>
        </w:tc>
      </w:tr>
      <w:tr>
        <w:trPr>
          <w:cantSplit w:val="true"/>
        </w:trPr>
        <w:tc>
          <w:tcPr>
            <w:tcW w:type="dxa" w:w="2304"/>
            <w:vAlign w:val="center"/>
          </w:tcPr>
          <w:p>
            <w:pPr>
              <w:keepNext/>
              <w:spacing w:after="0" w:line="240" w:lineRule="auto"/>
            </w:pPr>
            <w:r>
              <w:rPr>
                <w:sz w:val="17"/>
              </w:rPr>
              <w:t>Cota-Parte</w:t>
            </w:r>
          </w:p>
        </w:tc>
        <w:tc>
          <w:tcPr>
            <w:tcW w:type="dxa" w:w="2376"/>
            <w:vAlign w:val="center"/>
          </w:tcPr>
          <w:p>
            <w:pPr>
              <w:keepNext/>
              <w:spacing w:after="0" w:line="240" w:lineRule="auto"/>
            </w:pPr>
            <w:r>
              <w:rPr>
                <w:rFonts w:ascii="Consolas" w:hAnsi="Consolas"/>
                <w:sz w:val="17"/>
              </w:rPr>
              <w:t>41722010100</w:t>
            </w:r>
          </w:p>
        </w:tc>
        <w:tc>
          <w:tcPr>
            <w:tcW w:type="dxa" w:w="2340"/>
            <w:vAlign w:val="center"/>
          </w:tcPr>
          <w:p>
            <w:pPr>
              <w:keepNext/>
              <w:spacing w:after="0" w:line="240" w:lineRule="auto"/>
            </w:pPr>
            <w:r>
              <w:rPr>
                <w:rFonts w:ascii="Consolas" w:hAnsi="Consolas"/>
                <w:sz w:val="17"/>
              </w:rPr>
              <w:t>17280110</w:t>
            </w:r>
          </w:p>
        </w:tc>
        <w:tc>
          <w:tcPr>
            <w:tcW w:type="dxa" w:w="2340"/>
            <w:vAlign w:val="center"/>
          </w:tcPr>
          <w:p>
            <w:pPr>
              <w:keepNext/>
              <w:spacing w:after="0" w:line="240" w:lineRule="auto"/>
            </w:pPr>
            <w:r>
              <w:rPr>
                <w:rFonts w:ascii="Consolas" w:hAnsi="Consolas"/>
                <w:sz w:val="17"/>
              </w:rPr>
              <w:t>17215000</w:t>
            </w:r>
          </w:p>
        </w:tc>
      </w:tr>
      <w:tr>
        <w:trPr>
          <w:cantSplit w:val="true"/>
        </w:trPr>
        <w:tc>
          <w:tcPr>
            <w:tcW w:type="dxa" w:w="2304"/>
            <w:vAlign w:val="center"/>
            <w:shd w:val="clear" w:color="auto" w:fill="F3F6FA"/>
          </w:tcPr>
          <w:p>
            <w:pPr>
              <w:keepNext/>
              <w:spacing w:after="0" w:line="240" w:lineRule="auto"/>
            </w:pPr>
            <w:r>
              <w:rPr>
                <w:sz w:val="17"/>
              </w:rPr>
              <w:t>ICMS Principal</w:t>
            </w:r>
          </w:p>
        </w:tc>
        <w:tc>
          <w:tcPr>
            <w:tcW w:type="dxa" w:w="2376"/>
            <w:vAlign w:val="center"/>
            <w:shd w:val="clear" w:color="auto" w:fill="F3F6FA"/>
          </w:tcPr>
          <w:p>
            <w:pPr>
              <w:keepNext/>
              <w:spacing w:after="0" w:line="240" w:lineRule="auto"/>
            </w:pPr>
            <w:r>
              <w:rPr>
                <w:rFonts w:ascii="Consolas" w:hAnsi="Consolas"/>
                <w:sz w:val="17"/>
              </w:rPr>
              <w:t>41113020100 − 49111302000*</w:t>
            </w:r>
          </w:p>
        </w:tc>
        <w:tc>
          <w:tcPr>
            <w:tcW w:type="dxa" w:w="2340"/>
            <w:vAlign w:val="center"/>
            <w:shd w:val="clear" w:color="auto" w:fill="F3F6FA"/>
          </w:tcPr>
          <w:p>
            <w:pPr>
              <w:keepNext/>
              <w:spacing w:after="0" w:line="240" w:lineRule="auto"/>
            </w:pPr>
            <w:r>
              <w:rPr>
                <w:rFonts w:ascii="Consolas" w:hAnsi="Consolas"/>
                <w:sz w:val="17"/>
              </w:rPr>
              <w:t>11180211</w:t>
            </w:r>
          </w:p>
        </w:tc>
        <w:tc>
          <w:tcPr>
            <w:tcW w:type="dxa" w:w="2340"/>
            <w:vAlign w:val="center"/>
            <w:shd w:val="clear" w:color="auto" w:fill="F3F6FA"/>
          </w:tcPr>
          <w:p>
            <w:pPr>
              <w:keepNext/>
              <w:spacing w:after="0" w:line="240" w:lineRule="auto"/>
            </w:pPr>
            <w:r>
              <w:rPr>
                <w:rFonts w:ascii="Consolas" w:hAnsi="Consolas"/>
                <w:sz w:val="17"/>
              </w:rPr>
              <w:t>11145011</w:t>
            </w:r>
          </w:p>
        </w:tc>
      </w:tr>
      <w:tr>
        <w:trPr>
          <w:cantSplit w:val="true"/>
        </w:trPr>
        <w:tc>
          <w:tcPr>
            <w:tcW w:type="dxa" w:w="2304"/>
            <w:vAlign w:val="center"/>
          </w:tcPr>
          <w:p>
            <w:pPr>
              <w:keepNext/>
              <w:spacing w:after="0" w:line="240" w:lineRule="auto"/>
            </w:pPr>
            <w:r>
              <w:rPr>
                <w:sz w:val="17"/>
              </w:rPr>
              <w:t>ICMS Multas e Juros Mora</w:t>
            </w:r>
          </w:p>
        </w:tc>
        <w:tc>
          <w:tcPr>
            <w:tcW w:type="dxa" w:w="2376"/>
            <w:vAlign w:val="center"/>
          </w:tcPr>
          <w:p>
            <w:pPr>
              <w:keepNext/>
              <w:spacing w:after="0" w:line="240" w:lineRule="auto"/>
            </w:pPr>
            <w:r>
              <w:rPr>
                <w:rFonts w:ascii="Consolas" w:hAnsi="Consolas"/>
                <w:sz w:val="17"/>
              </w:rPr>
              <w:t>41911420000</w:t>
            </w:r>
          </w:p>
        </w:tc>
        <w:tc>
          <w:tcPr>
            <w:tcW w:type="dxa" w:w="2340"/>
            <w:vAlign w:val="center"/>
          </w:tcPr>
          <w:p>
            <w:pPr>
              <w:keepNext/>
              <w:spacing w:after="0" w:line="240" w:lineRule="auto"/>
            </w:pPr>
            <w:r>
              <w:rPr>
                <w:rFonts w:ascii="Consolas" w:hAnsi="Consolas"/>
                <w:sz w:val="17"/>
              </w:rPr>
              <w:t>11180212 + 11180215 + 11180216</w:t>
            </w:r>
          </w:p>
        </w:tc>
        <w:tc>
          <w:tcPr>
            <w:tcW w:type="dxa" w:w="2340"/>
            <w:vAlign w:val="center"/>
          </w:tcPr>
          <w:p>
            <w:pPr>
              <w:keepNext/>
              <w:spacing w:after="0" w:line="240" w:lineRule="auto"/>
            </w:pPr>
            <w:r>
              <w:rPr>
                <w:rFonts w:ascii="Consolas" w:hAnsi="Consolas"/>
                <w:sz w:val="17"/>
              </w:rPr>
              <w:t>11145012 + 11145015 + 11145016</w:t>
            </w:r>
          </w:p>
        </w:tc>
      </w:tr>
      <w:tr>
        <w:trPr>
          <w:cantSplit w:val="true"/>
        </w:trPr>
        <w:tc>
          <w:tcPr>
            <w:tcW w:type="dxa" w:w="2304"/>
            <w:vAlign w:val="center"/>
            <w:shd w:val="clear" w:color="auto" w:fill="F3F6FA"/>
          </w:tcPr>
          <w:p>
            <w:pPr>
              <w:keepNext/>
              <w:spacing w:after="0" w:line="240" w:lineRule="auto"/>
            </w:pPr>
            <w:r>
              <w:rPr>
                <w:sz w:val="17"/>
              </w:rPr>
              <w:t>ICMS DA – Principal</w:t>
            </w:r>
          </w:p>
        </w:tc>
        <w:tc>
          <w:tcPr>
            <w:tcW w:type="dxa" w:w="2376"/>
            <w:vAlign w:val="center"/>
            <w:shd w:val="clear" w:color="auto" w:fill="F3F6FA"/>
          </w:tcPr>
          <w:p>
            <w:pPr>
              <w:keepNext/>
              <w:spacing w:after="0" w:line="240" w:lineRule="auto"/>
            </w:pPr>
            <w:r>
              <w:rPr>
                <w:rFonts w:ascii="Consolas" w:hAnsi="Consolas"/>
                <w:sz w:val="17"/>
              </w:rPr>
              <w:t>41931150000</w:t>
            </w:r>
          </w:p>
        </w:tc>
        <w:tc>
          <w:tcPr>
            <w:tcW w:type="dxa" w:w="2340"/>
            <w:vAlign w:val="center"/>
            <w:shd w:val="clear" w:color="auto" w:fill="F3F6FA"/>
          </w:tcPr>
          <w:p>
            <w:pPr>
              <w:keepNext/>
              <w:spacing w:after="0" w:line="240" w:lineRule="auto"/>
            </w:pPr>
            <w:r>
              <w:rPr>
                <w:rFonts w:ascii="Consolas" w:hAnsi="Consolas"/>
                <w:sz w:val="17"/>
              </w:rPr>
              <w:t>11180213</w:t>
            </w:r>
          </w:p>
        </w:tc>
        <w:tc>
          <w:tcPr>
            <w:tcW w:type="dxa" w:w="2340"/>
            <w:vAlign w:val="center"/>
            <w:shd w:val="clear" w:color="auto" w:fill="F3F6FA"/>
          </w:tcPr>
          <w:p>
            <w:pPr>
              <w:keepNext/>
              <w:spacing w:after="0" w:line="240" w:lineRule="auto"/>
            </w:pPr>
            <w:r>
              <w:rPr>
                <w:rFonts w:ascii="Consolas" w:hAnsi="Consolas"/>
                <w:sz w:val="17"/>
              </w:rPr>
              <w:t>11145013</w:t>
            </w:r>
          </w:p>
        </w:tc>
      </w:tr>
      <w:tr>
        <w:trPr>
          <w:cantSplit w:val="true"/>
        </w:trPr>
        <w:tc>
          <w:tcPr>
            <w:tcW w:type="dxa" w:w="2304"/>
            <w:vAlign w:val="center"/>
          </w:tcPr>
          <w:p>
            <w:pPr>
              <w:keepNext/>
              <w:spacing w:after="0" w:line="240" w:lineRule="auto"/>
            </w:pPr>
            <w:r>
              <w:rPr>
                <w:sz w:val="17"/>
              </w:rPr>
              <w:t>ICMS DA – Multas e Juros</w:t>
            </w:r>
          </w:p>
        </w:tc>
        <w:tc>
          <w:tcPr>
            <w:tcW w:type="dxa" w:w="2376"/>
            <w:vAlign w:val="center"/>
          </w:tcPr>
          <w:p>
            <w:pPr>
              <w:keepNext/>
              <w:spacing w:after="0" w:line="240" w:lineRule="auto"/>
            </w:pPr>
            <w:r>
              <w:rPr>
                <w:rFonts w:ascii="Consolas" w:hAnsi="Consolas"/>
                <w:sz w:val="17"/>
              </w:rPr>
              <w:t>41913150000</w:t>
            </w:r>
          </w:p>
        </w:tc>
        <w:tc>
          <w:tcPr>
            <w:tcW w:type="dxa" w:w="2340"/>
            <w:vAlign w:val="center"/>
          </w:tcPr>
          <w:p>
            <w:pPr>
              <w:keepNext/>
              <w:spacing w:after="0" w:line="240" w:lineRule="auto"/>
            </w:pPr>
            <w:r>
              <w:rPr>
                <w:rFonts w:ascii="Consolas" w:hAnsi="Consolas"/>
                <w:sz w:val="17"/>
              </w:rPr>
              <w:t>11180214 + 11180217 + 11180218</w:t>
            </w:r>
          </w:p>
        </w:tc>
        <w:tc>
          <w:tcPr>
            <w:tcW w:type="dxa" w:w="2340"/>
            <w:vAlign w:val="center"/>
          </w:tcPr>
          <w:p>
            <w:pPr>
              <w:keepNext/>
              <w:spacing w:after="0" w:line="240" w:lineRule="auto"/>
            </w:pPr>
            <w:r>
              <w:rPr>
                <w:rFonts w:ascii="Consolas" w:hAnsi="Consolas"/>
                <w:sz w:val="17"/>
              </w:rPr>
              <w:t>11145014 + 11145017 + 11145018</w:t>
            </w:r>
          </w:p>
        </w:tc>
      </w:tr>
      <w:tr>
        <w:trPr>
          <w:cantSplit w:val="true"/>
        </w:trPr>
        <w:tc>
          <w:tcPr>
            <w:tcW w:type="dxa" w:w="2304"/>
            <w:vAlign w:val="center"/>
            <w:shd w:val="clear" w:color="auto" w:fill="F3F6FA"/>
          </w:tcPr>
          <w:p>
            <w:pPr>
              <w:keepNext/>
              <w:spacing w:after="0" w:line="240" w:lineRule="auto"/>
            </w:pPr>
            <w:r>
              <w:rPr>
                <w:sz w:val="17"/>
              </w:rPr>
              <w:t>ICMS FECOP</w:t>
            </w:r>
          </w:p>
        </w:tc>
        <w:tc>
          <w:tcPr>
            <w:tcW w:type="dxa" w:w="2376"/>
            <w:vAlign w:val="center"/>
            <w:shd w:val="clear" w:color="auto" w:fill="F3F6FA"/>
          </w:tcPr>
          <w:p>
            <w:pPr>
              <w:keepNext/>
              <w:spacing w:after="0" w:line="240" w:lineRule="auto"/>
            </w:pPr>
            <w:r>
              <w:rPr>
                <w:rFonts w:ascii="Consolas" w:hAnsi="Consolas"/>
                <w:sz w:val="17"/>
              </w:rPr>
              <w:t>41113020200 − 49111302001*</w:t>
            </w:r>
          </w:p>
        </w:tc>
        <w:tc>
          <w:tcPr>
            <w:tcW w:type="dxa" w:w="2340"/>
            <w:vAlign w:val="center"/>
            <w:shd w:val="clear" w:color="auto" w:fill="F3F6FA"/>
          </w:tcPr>
          <w:p>
            <w:pPr>
              <w:keepNext/>
              <w:spacing w:after="0" w:line="240" w:lineRule="auto"/>
            </w:pPr>
            <w:r>
              <w:rPr>
                <w:rFonts w:ascii="Consolas" w:hAnsi="Consolas"/>
                <w:sz w:val="17"/>
              </w:rPr>
              <w:t>11180220</w:t>
            </w:r>
          </w:p>
        </w:tc>
        <w:tc>
          <w:tcPr>
            <w:tcW w:type="dxa" w:w="2340"/>
            <w:vAlign w:val="center"/>
            <w:shd w:val="clear" w:color="auto" w:fill="F3F6FA"/>
          </w:tcPr>
          <w:p>
            <w:pPr>
              <w:keepNext/>
              <w:spacing w:after="0" w:line="240" w:lineRule="auto"/>
            </w:pPr>
            <w:r>
              <w:rPr>
                <w:rFonts w:ascii="Consolas" w:hAnsi="Consolas"/>
                <w:sz w:val="17"/>
              </w:rPr>
              <w:t>11145020</w:t>
            </w:r>
          </w:p>
        </w:tc>
      </w:tr>
      <w:tr>
        <w:trPr>
          <w:cantSplit w:val="true"/>
        </w:trPr>
        <w:tc>
          <w:tcPr>
            <w:tcW w:type="dxa" w:w="2304"/>
            <w:vAlign w:val="center"/>
          </w:tcPr>
          <w:p>
            <w:pPr>
              <w:keepNext/>
              <w:spacing w:after="0" w:line="240" w:lineRule="auto"/>
            </w:pPr>
            <w:r>
              <w:rPr>
                <w:sz w:val="17"/>
              </w:rPr>
              <w:t>Compensação ICMS (Municípios)</w:t>
            </w:r>
          </w:p>
        </w:tc>
        <w:tc>
          <w:tcPr>
            <w:tcW w:type="dxa" w:w="2376"/>
            <w:vAlign w:val="center"/>
          </w:tcPr>
          <w:p>
            <w:pPr>
              <w:keepNext/>
              <w:spacing w:after="0" w:line="240" w:lineRule="auto"/>
            </w:pPr>
            <w:r>
              <w:rPr>
                <w:rFonts w:ascii="Consolas" w:hAnsi="Consolas"/>
                <w:sz w:val="17"/>
              </w:rPr>
              <w:t>—</w:t>
            </w:r>
          </w:p>
        </w:tc>
        <w:tc>
          <w:tcPr>
            <w:tcW w:type="dxa" w:w="2340"/>
            <w:vAlign w:val="center"/>
          </w:tcPr>
          <w:p>
            <w:pPr>
              <w:keepNext/>
              <w:spacing w:after="0" w:line="240" w:lineRule="auto"/>
            </w:pPr>
            <w:r>
              <w:rPr>
                <w:rFonts w:ascii="Consolas" w:hAnsi="Consolas"/>
                <w:sz w:val="17"/>
              </w:rPr>
              <w:t>—</w:t>
            </w:r>
          </w:p>
        </w:tc>
        <w:tc>
          <w:tcPr>
            <w:tcW w:type="dxa" w:w="2340"/>
            <w:vAlign w:val="center"/>
          </w:tcPr>
          <w:p>
            <w:pPr>
              <w:keepNext/>
              <w:spacing w:after="0" w:line="240" w:lineRule="auto"/>
            </w:pPr>
            <w:r>
              <w:rPr>
                <w:rFonts w:ascii="Consolas" w:hAnsi="Consolas"/>
                <w:sz w:val="17"/>
              </w:rPr>
              <w:t>17295300 + 17196200 + 17196300 †</w:t>
            </w:r>
          </w:p>
        </w:tc>
      </w:tr>
      <w:tr>
        <w:trPr>
          <w:cantSplit w:val="true"/>
        </w:trPr>
        <w:tc>
          <w:tcPr>
            <w:tcW w:type="dxa" w:w="2304"/>
            <w:vAlign w:val="center"/>
            <w:shd w:val="clear" w:color="auto" w:fill="F3F6FA"/>
          </w:tcPr>
          <w:p>
            <w:pPr>
              <w:spacing w:after="0" w:line="240" w:lineRule="auto"/>
            </w:pPr>
            <w:r>
              <w:rPr>
                <w:sz w:val="17"/>
              </w:rPr>
              <w:t>Compensação ICMS (Estados)</w:t>
            </w:r>
          </w:p>
        </w:tc>
        <w:tc>
          <w:tcPr>
            <w:tcW w:type="dxa" w:w="2376"/>
            <w:vAlign w:val="center"/>
            <w:shd w:val="clear" w:color="auto" w:fill="F3F6FA"/>
          </w:tcPr>
          <w:p>
            <w:pPr>
              <w:spacing w:after="0" w:line="240" w:lineRule="auto"/>
            </w:pPr>
            <w:r>
              <w:rPr>
                <w:rFonts w:ascii="Consolas" w:hAnsi="Consolas"/>
                <w:sz w:val="17"/>
              </w:rPr>
              <w:t>—</w:t>
            </w:r>
          </w:p>
        </w:tc>
        <w:tc>
          <w:tcPr>
            <w:tcW w:type="dxa" w:w="2340"/>
            <w:vAlign w:val="center"/>
            <w:shd w:val="clear" w:color="auto" w:fill="F3F6FA"/>
          </w:tcPr>
          <w:p>
            <w:pPr>
              <w:spacing w:after="0" w:line="240" w:lineRule="auto"/>
            </w:pPr>
            <w:r>
              <w:rPr>
                <w:rFonts w:ascii="Consolas" w:hAnsi="Consolas"/>
                <w:sz w:val="17"/>
              </w:rPr>
              <w:t>—</w:t>
            </w:r>
          </w:p>
        </w:tc>
        <w:tc>
          <w:tcPr>
            <w:tcW w:type="dxa" w:w="2340"/>
            <w:vAlign w:val="center"/>
            <w:shd w:val="clear" w:color="auto" w:fill="F3F6FA"/>
          </w:tcPr>
          <w:p>
            <w:pPr>
              <w:spacing w:after="0" w:line="240" w:lineRule="auto"/>
            </w:pPr>
            <w:r>
              <w:rPr>
                <w:rFonts w:ascii="Consolas" w:hAnsi="Consolas"/>
                <w:sz w:val="17"/>
              </w:rPr>
              <w:t>17196200 + 17196300 †</w:t>
            </w:r>
          </w:p>
        </w:tc>
      </w:tr>
    </w:tbl>
    <w:p>
      <w:pPr>
        <w:spacing w:after="40"/>
      </w:pPr>
    </w:p>
    <w:p>
      <w:r>
        <w:rPr>
          <w:color w:val="595959"/>
          <w:sz w:val="18"/>
        </w:rPr>
        <w:t>* No ICMS dos Estados, toda dedução (coluna ou conta própria) está sujeita ao limiar de 10% da seção 4.1.</w:t>
      </w:r>
    </w:p>
    <w:p>
      <w:r>
        <w:rPr>
          <w:color w:val="595959"/>
          <w:sz w:val="18"/>
        </w:rPr>
        <w:t>† Limiar de 10% nas deduções e regra de duplicidade entre rubricas (seção 5). Sem contas de 2019 a 2022.</w:t>
      </w:r>
    </w:p>
    <w:p>
      <w:pPr>
        <w:pStyle w:val="Heading1"/>
      </w:pPr>
      <w:r>
        <w:t>7. Histórico de alterações da regra</w:t>
      </w:r>
    </w:p>
    <w:p>
      <w:pPr>
        <w:keepNext/>
      </w:pPr>
      <w:r>
        <w:t xml:space="preserve">As versões anteriores do documento ficam na pasta </w:t>
      </w:r>
      <w:r>
        <w:rPr>
          <w:rFonts w:ascii="Consolas" w:hAnsi="Consolas"/>
          <w:sz w:val="20"/>
        </w:rPr>
        <w:t>Regras de extração - Histórico</w:t>
      </w:r>
      <w:r>
        <w:t>, com a data no nome do arquivo.</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4680"/>
        <w:gridCol w:w="4680"/>
      </w:tblGrid>
      <w:tr>
        <w:trPr>
          <w:tblHeader w:val="true"/>
        </w:trPr>
        <w:tc>
          <w:tcPr>
            <w:tcW w:type="dxa" w:w="1440"/>
            <w:shd w:val="clear" w:color="auto" w:fill="1F3864"/>
            <w:vAlign w:val="center"/>
          </w:tcPr>
          <w:p>
            <w:pPr>
              <w:keepNext/>
              <w:spacing w:after="0"/>
            </w:pPr>
            <w:r>
              <w:rPr>
                <w:b/>
                <w:color w:val="FFFFFF"/>
                <w:sz w:val="18"/>
              </w:rPr>
              <w:t>Data</w:t>
            </w:r>
          </w:p>
        </w:tc>
        <w:tc>
          <w:tcPr>
            <w:tcW w:type="dxa" w:w="7920"/>
            <w:shd w:val="clear" w:color="auto" w:fill="1F3864"/>
            <w:vAlign w:val="center"/>
          </w:tcPr>
          <w:p>
            <w:pPr>
              <w:keepNext/>
              <w:spacing w:after="0"/>
            </w:pPr>
            <w:r>
              <w:rPr>
                <w:b/>
                <w:color w:val="FFFFFF"/>
                <w:sz w:val="18"/>
              </w:rPr>
              <w:t>Alteração</w:t>
            </w:r>
          </w:p>
        </w:tc>
      </w:tr>
      <w:tr>
        <w:trPr>
          <w:cantSplit w:val="true"/>
        </w:trPr>
        <w:tc>
          <w:tcPr>
            <w:tcW w:type="dxa" w:w="1440"/>
            <w:vAlign w:val="center"/>
          </w:tcPr>
          <w:p>
            <w:pPr>
              <w:keepNext/>
              <w:spacing w:after="0" w:line="240" w:lineRule="auto"/>
            </w:pPr>
            <w:r>
              <w:rPr>
                <w:sz w:val="18"/>
              </w:rPr>
              <w:t>13/05/2026</w:t>
              <w:br/>
              <w:t>v1</w:t>
            </w:r>
          </w:p>
        </w:tc>
        <w:tc>
          <w:tcPr>
            <w:tcW w:type="dxa" w:w="7920"/>
            <w:vAlign w:val="center"/>
          </w:tcPr>
          <w:p>
            <w:pPr>
              <w:keepNext/>
              <w:spacing w:after="0" w:line="240" w:lineRule="auto"/>
            </w:pPr>
            <w:r>
              <w:rPr>
                <w:sz w:val="18"/>
              </w:rPr>
              <w:t>Versão inicial: ISS e Cota-Parte do ICMS (Municípios) e ICMS (Estados), período 6, com mapeamento por faixa de anos.</w:t>
            </w:r>
          </w:p>
        </w:tc>
      </w:tr>
      <w:tr>
        <w:trPr>
          <w:cantSplit w:val="true"/>
        </w:trPr>
        <w:tc>
          <w:tcPr>
            <w:tcW w:type="dxa" w:w="1440"/>
            <w:vAlign w:val="center"/>
            <w:shd w:val="clear" w:color="auto" w:fill="F3F6FA"/>
          </w:tcPr>
          <w:p>
            <w:pPr>
              <w:keepNext/>
              <w:spacing w:after="0" w:line="240" w:lineRule="auto"/>
            </w:pPr>
            <w:r>
              <w:rPr>
                <w:sz w:val="18"/>
              </w:rPr>
              <w:t>19/05/2026</w:t>
            </w:r>
          </w:p>
        </w:tc>
        <w:tc>
          <w:tcPr>
            <w:tcW w:type="dxa" w:w="7920"/>
            <w:vAlign w:val="center"/>
            <w:shd w:val="clear" w:color="auto" w:fill="F3F6FA"/>
          </w:tcPr>
          <w:p>
            <w:pPr>
              <w:keepNext/>
              <w:spacing w:after="0" w:line="240" w:lineRule="auto"/>
            </w:pPr>
            <w:r>
              <w:rPr>
                <w:sz w:val="18"/>
              </w:rPr>
              <w:t xml:space="preserve">DF incluído entre os Municípios, com contas exclusivas em 2019–2020 (ISS Principal </w:t>
            </w:r>
            <w:r>
              <w:rPr>
                <w:rFonts w:ascii="Consolas" w:hAnsi="Consolas"/>
                <w:sz w:val="17"/>
              </w:rPr>
              <w:t>41113050000</w:t>
            </w:r>
            <w:r>
              <w:rPr>
                <w:sz w:val="18"/>
              </w:rPr>
              <w:t>, sem FECOP).</w:t>
            </w:r>
          </w:p>
        </w:tc>
      </w:tr>
      <w:tr>
        <w:trPr>
          <w:cantSplit w:val="true"/>
        </w:trPr>
        <w:tc>
          <w:tcPr>
            <w:tcW w:type="dxa" w:w="1440"/>
            <w:vAlign w:val="center"/>
          </w:tcPr>
          <w:p>
            <w:pPr>
              <w:keepNext/>
              <w:spacing w:after="0" w:line="240" w:lineRule="auto"/>
            </w:pPr>
            <w:r>
              <w:rPr>
                <w:sz w:val="18"/>
              </w:rPr>
              <w:t>19/05/2026</w:t>
            </w:r>
          </w:p>
        </w:tc>
        <w:tc>
          <w:tcPr>
            <w:tcW w:type="dxa" w:w="7920"/>
            <w:vAlign w:val="center"/>
          </w:tcPr>
          <w:p>
            <w:pPr>
              <w:keepNext/>
              <w:spacing w:after="0" w:line="240" w:lineRule="auto"/>
            </w:pPr>
            <w:r>
              <w:rPr>
                <w:sz w:val="18"/>
              </w:rPr>
              <w:t xml:space="preserve">ICMS Principal 2019–2020 corrigido de </w:t>
            </w:r>
            <w:r>
              <w:rPr>
                <w:rFonts w:ascii="Consolas" w:hAnsi="Consolas"/>
                <w:sz w:val="17"/>
              </w:rPr>
              <w:t>41113020000</w:t>
            </w:r>
            <w:r>
              <w:rPr>
                <w:sz w:val="18"/>
              </w:rPr>
              <w:t xml:space="preserve"> para </w:t>
            </w:r>
            <w:r>
              <w:rPr>
                <w:rFonts w:ascii="Consolas" w:hAnsi="Consolas"/>
                <w:sz w:val="17"/>
              </w:rPr>
              <w:t>41113020100</w:t>
            </w:r>
            <w:r>
              <w:rPr>
                <w:sz w:val="18"/>
              </w:rPr>
              <w:t>.</w:t>
            </w:r>
          </w:p>
        </w:tc>
      </w:tr>
      <w:tr>
        <w:trPr>
          <w:cantSplit w:val="true"/>
        </w:trPr>
        <w:tc>
          <w:tcPr>
            <w:tcW w:type="dxa" w:w="1440"/>
            <w:vAlign w:val="center"/>
            <w:shd w:val="clear" w:color="auto" w:fill="F3F6FA"/>
          </w:tcPr>
          <w:p>
            <w:pPr>
              <w:keepNext/>
              <w:spacing w:after="0" w:line="240" w:lineRule="auto"/>
            </w:pPr>
            <w:r>
              <w:rPr>
                <w:sz w:val="18"/>
              </w:rPr>
              <w:t>05/06/2026</w:t>
            </w:r>
          </w:p>
        </w:tc>
        <w:tc>
          <w:tcPr>
            <w:tcW w:type="dxa" w:w="7920"/>
            <w:vAlign w:val="center"/>
            <w:shd w:val="clear" w:color="auto" w:fill="F3F6FA"/>
          </w:tcPr>
          <w:p>
            <w:pPr>
              <w:keepNext/>
              <w:spacing w:after="0" w:line="240" w:lineRule="auto"/>
            </w:pPr>
            <w:r>
              <w:rPr>
                <w:sz w:val="18"/>
              </w:rPr>
              <w:t>Faixa de anos fixada em 2019–2025 (o período 6 de 2026 só fica disponível após o fim do exercício).</w:t>
            </w:r>
          </w:p>
        </w:tc>
      </w:tr>
      <w:tr>
        <w:trPr>
          <w:cantSplit w:val="true"/>
        </w:trPr>
        <w:tc>
          <w:tcPr>
            <w:tcW w:type="dxa" w:w="1440"/>
            <w:vAlign w:val="center"/>
          </w:tcPr>
          <w:p>
            <w:pPr>
              <w:keepNext/>
              <w:spacing w:after="0" w:line="240" w:lineRule="auto"/>
            </w:pPr>
            <w:r>
              <w:rPr>
                <w:sz w:val="18"/>
              </w:rPr>
              <w:t>28/10/2026</w:t>
              <w:br/>
              <w:t>v2</w:t>
            </w:r>
          </w:p>
        </w:tc>
        <w:tc>
          <w:tcPr>
            <w:tcW w:type="dxa" w:w="7920"/>
            <w:vAlign w:val="center"/>
          </w:tcPr>
          <w:p>
            <w:pPr>
              <w:keepNext/>
              <w:spacing w:after="0" w:line="240" w:lineRule="auto"/>
            </w:pPr>
            <w:r>
              <w:rPr>
                <w:b/>
                <w:sz w:val="18"/>
              </w:rPr>
              <w:t>ISS:</w:t>
            </w:r>
            <w:r>
              <w:rPr>
                <w:sz w:val="18"/>
              </w:rPr>
              <w:t xml:space="preserve"> inclusão das contas separadas de multas e juros (dígitos 5–8) em 2021–2025 e da dedução </w:t>
            </w:r>
            <w:r>
              <w:rPr>
                <w:rFonts w:ascii="Consolas" w:hAnsi="Consolas"/>
                <w:sz w:val="17"/>
              </w:rPr>
              <w:t>49111305000</w:t>
            </w:r>
            <w:r>
              <w:rPr>
                <w:sz w:val="18"/>
              </w:rPr>
              <w:t xml:space="preserve"> em 2019–2020 (inclusive DF); registro das exceções com ISS negativo. </w:t>
            </w:r>
            <w:r>
              <w:rPr>
                <w:b/>
                <w:sz w:val="18"/>
              </w:rPr>
              <w:t>ICMS:</w:t>
            </w:r>
            <w:r>
              <w:rPr>
                <w:sz w:val="18"/>
              </w:rPr>
              <w:t xml:space="preserve"> inclusão das contas 5–8 e da </w:t>
            </w:r>
            <w:r>
              <w:rPr>
                <w:rFonts w:ascii="Consolas" w:hAnsi="Consolas"/>
                <w:sz w:val="17"/>
              </w:rPr>
              <w:t>11180214</w:t>
            </w:r>
            <w:r>
              <w:rPr>
                <w:sz w:val="18"/>
              </w:rPr>
              <w:t xml:space="preserve">; </w:t>
            </w:r>
            <w:r>
              <w:rPr>
                <w:rFonts w:ascii="Consolas" w:hAnsi="Consolas"/>
                <w:sz w:val="17"/>
              </w:rPr>
              <w:t>11180215</w:t>
            </w:r>
            <w:r>
              <w:rPr>
                <w:sz w:val="18"/>
              </w:rPr>
              <w:t xml:space="preserve"> movida da Métrica 5 para a 3; descrição da </w:t>
            </w:r>
            <w:r>
              <w:rPr>
                <w:rFonts w:ascii="Consolas" w:hAnsi="Consolas"/>
                <w:sz w:val="17"/>
              </w:rPr>
              <w:t>11145014</w:t>
            </w:r>
            <w:r>
              <w:rPr>
                <w:sz w:val="18"/>
              </w:rPr>
              <w:t xml:space="preserve"> corrigida; regra do limiar de 10% para deduções, incluindo as contas </w:t>
            </w:r>
            <w:r>
              <w:rPr>
                <w:rFonts w:ascii="Consolas" w:hAnsi="Consolas"/>
                <w:sz w:val="17"/>
              </w:rPr>
              <w:t>49111302000</w:t>
            </w:r>
            <w:r>
              <w:rPr>
                <w:sz w:val="18"/>
              </w:rPr>
              <w:t xml:space="preserve"> e </w:t>
            </w:r>
            <w:r>
              <w:rPr>
                <w:rFonts w:ascii="Consolas" w:hAnsi="Consolas"/>
                <w:sz w:val="17"/>
              </w:rPr>
              <w:t>49111302001</w:t>
            </w:r>
            <w:r>
              <w:rPr>
                <w:sz w:val="18"/>
              </w:rPr>
              <w:t xml:space="preserve"> em 2019–2020. </w:t>
            </w:r>
            <w:r>
              <w:rPr>
                <w:b/>
                <w:sz w:val="18"/>
              </w:rPr>
              <w:t>Cota-Parte:</w:t>
            </w:r>
            <w:r>
              <w:rPr>
                <w:sz w:val="18"/>
              </w:rPr>
              <w:t xml:space="preserve"> sem mudança de contas; registro das contas relacionadas não incluídas. Documento reestruturado (tabelas, resumo e histórico).</w:t>
            </w:r>
          </w:p>
        </w:tc>
      </w:tr>
      <w:tr>
        <w:trPr>
          <w:cantSplit w:val="true"/>
        </w:trPr>
        <w:tc>
          <w:tcPr>
            <w:tcW w:type="dxa" w:w="1440"/>
            <w:vAlign w:val="center"/>
            <w:shd w:val="clear" w:color="auto" w:fill="F3F6FA"/>
          </w:tcPr>
          <w:p>
            <w:pPr>
              <w:spacing w:after="0" w:line="240" w:lineRule="auto"/>
            </w:pPr>
            <w:r>
              <w:rPr>
                <w:sz w:val="18"/>
              </w:rPr>
              <w:t>28/10/2026</w:t>
              <w:br/>
              <w:t>v3</w:t>
            </w:r>
          </w:p>
        </w:tc>
        <w:tc>
          <w:tcPr>
            <w:tcW w:type="dxa" w:w="7920"/>
            <w:vAlign w:val="center"/>
            <w:shd w:val="clear" w:color="auto" w:fill="F3F6FA"/>
          </w:tcPr>
          <w:p>
            <w:pPr>
              <w:spacing w:after="0" w:line="240" w:lineRule="auto"/>
            </w:pPr>
            <w:r>
              <w:rPr>
                <w:b/>
                <w:sz w:val="18"/>
              </w:rPr>
              <w:t>Compensação de ICMS (LC 194/2022):</w:t>
            </w:r>
            <w:r>
              <w:rPr>
                <w:sz w:val="18"/>
              </w:rPr>
              <w:t xml:space="preserve"> nova métrica para Municípios e Estados (2023–2025), com as contas </w:t>
            </w:r>
            <w:r>
              <w:rPr>
                <w:rFonts w:ascii="Consolas" w:hAnsi="Consolas"/>
                <w:sz w:val="17"/>
              </w:rPr>
              <w:t>17295300</w:t>
            </w:r>
            <w:r>
              <w:rPr>
                <w:sz w:val="18"/>
              </w:rPr>
              <w:t xml:space="preserve">, </w:t>
            </w:r>
            <w:r>
              <w:rPr>
                <w:rFonts w:ascii="Consolas" w:hAnsi="Consolas"/>
                <w:sz w:val="17"/>
              </w:rPr>
              <w:t>17196200</w:t>
            </w:r>
            <w:r>
              <w:rPr>
                <w:sz w:val="18"/>
              </w:rPr>
              <w:t xml:space="preserve"> e </w:t>
            </w:r>
            <w:r>
              <w:rPr>
                <w:rFonts w:ascii="Consolas" w:hAnsi="Consolas"/>
                <w:sz w:val="17"/>
              </w:rPr>
              <w:t>17196300</w:t>
            </w:r>
            <w:r>
              <w:rPr>
                <w:sz w:val="18"/>
              </w:rPr>
              <w:t>, tratamento dos lançamentos na rubrica do outro grupo, regra de duplicidade e limiar de 10% nas deduções. Registro das contas relacionadas que não entram e do ponto em aberto nas deduções da Cota-Parte. Versão anterior (v2) arquivada no histórico.</w:t>
            </w:r>
          </w:p>
        </w:tc>
      </w:tr>
    </w:tbl>
    <w:p>
      <w:pPr>
        <w:spacing w:after="40"/>
      </w:pP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Regra de Extração — Dados SIOPE (ICMS e ISS)   ·   página </w:t>
    </w:r>
    <w:r>
      <w:rPr>
        <w:color w:val="595959"/>
        <w:sz w:val="16"/>
      </w:rPr>
      <w:fldChar w:fldCharType="begin"/>
    </w:r>
    <w:r>
      <w:rPr>
        <w:color w:val="595959"/>
        <w:sz w:val="16"/>
      </w:rPr>
      <w:instrText xml:space="preserve">PAGE</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NUMPAGES</w:instrText>
    </w:r>
    <w:r>
      <w:rPr>
        <w:color w:val="595959"/>
        <w:sz w:val="16"/>
      </w:rPr>
      <w:fldChar w:fldCharType="separate"/>
    </w:r>
    <w:r>
      <w:rPr>
        <w:color w:val="595959"/>
        <w:sz w:val="16"/>
      </w:rPr>
      <w:t>1</w:t>
    </w:r>
    <w:r>
      <w:rPr>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Bdr>
        <w:bottom w:val="single" w:sz="8" w:space="2" w:color="1F3864"/>
      </w:pBdr>
    </w:pPr>
    <w:rPr>
      <w:rFonts w:ascii="Calibri" w:hAnsi="Calibri" w:eastAsia="Calibri" w:cs="Calibri"/>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i w:val="0"/>
      <w:color w:val="2E75B6"/>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Calibri" w:hAnsi="Calibri" w:eastAsia="Calibri" w:cs="Calibri"/>
      <w:b/>
      <w:bCs/>
      <w:i w:val="0"/>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before="0"/>
      <w:contextualSpacing/>
    </w:pPr>
    <w:rPr>
      <w:rFonts w:ascii="Calibri" w:hAnsi="Calibri" w:eastAsia="Calibri" w:cs="Calibri"/>
      <w:b/>
      <w:i w:val="0"/>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