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C43F1" w14:textId="3EC01EAC" w:rsidR="00BB7368" w:rsidRPr="00A50907" w:rsidRDefault="00715AAE" w:rsidP="00A5090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0907">
        <w:rPr>
          <w:rFonts w:ascii="Times New Roman" w:hAnsi="Times New Roman" w:cs="Times New Roman"/>
          <w:b/>
          <w:bCs/>
          <w:sz w:val="28"/>
          <w:szCs w:val="28"/>
        </w:rPr>
        <w:t>IMPACTOS DA INTELIGÊNCIA ARTIFICIAL NO DESENVOLVIMENTO COGNITIVO DE ADOLESCENTES</w:t>
      </w:r>
    </w:p>
    <w:p w14:paraId="1E70B4F7" w14:textId="77777777" w:rsidR="00715AAE" w:rsidRDefault="00715AAE" w:rsidP="00A5090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45702943" w14:textId="5BC9E522" w:rsidR="00715AAE" w:rsidRDefault="00715AAE" w:rsidP="00A5090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Nome: Daniel Ares Gontijo Pinto</w:t>
      </w:r>
    </w:p>
    <w:p w14:paraId="7B8FDE9F" w14:textId="77777777" w:rsidR="00715AAE" w:rsidRDefault="00715AAE" w:rsidP="00A5090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5E7A907E" w14:textId="1EFE3FC6" w:rsidR="00715AAE" w:rsidRDefault="00715AAE" w:rsidP="00A5090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715AAE">
        <w:rPr>
          <w:rFonts w:ascii="Times New Roman" w:hAnsi="Times New Roman" w:cs="Times New Roman"/>
          <w:b/>
          <w:bCs/>
        </w:rPr>
        <w:t>RESUMO</w:t>
      </w:r>
    </w:p>
    <w:p w14:paraId="653F617B" w14:textId="77777777" w:rsidR="00715AAE" w:rsidRPr="00715AAE" w:rsidRDefault="00715AAE" w:rsidP="00A5090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15AAE">
        <w:rPr>
          <w:rFonts w:ascii="Times New Roman" w:hAnsi="Times New Roman" w:cs="Times New Roman"/>
        </w:rPr>
        <w:t xml:space="preserve">A rápida popularização de ferramentas de Inteligência Artificial (IA) generativa mudou a forma como os jovens estudam e interagem com a informação. Na adolescência, fase crucial para o amadurecimento do cérebro e consolidação das funções executivas (como atenção e planejamento), o acesso fácil a respostas prontas gera preocupações sobre a perda de autonomia intelectual. O problema que motivou esta pesquisa foi justamente entender como o uso dessas ferramentas impacta o desenvolvimento cognitivo dos adolescentes. Para isso, realizamos uma revisão integrativa da literatura, buscando estudos publicados entre 2024 e 2026 em bases científicas como Scopus, Web </w:t>
      </w:r>
      <w:proofErr w:type="spellStart"/>
      <w:r w:rsidRPr="00715AAE">
        <w:rPr>
          <w:rFonts w:ascii="Times New Roman" w:hAnsi="Times New Roman" w:cs="Times New Roman"/>
        </w:rPr>
        <w:t>of</w:t>
      </w:r>
      <w:proofErr w:type="spellEnd"/>
      <w:r w:rsidRPr="00715AAE">
        <w:rPr>
          <w:rFonts w:ascii="Times New Roman" w:hAnsi="Times New Roman" w:cs="Times New Roman"/>
        </w:rPr>
        <w:t xml:space="preserve"> Science, </w:t>
      </w:r>
      <w:proofErr w:type="spellStart"/>
      <w:r w:rsidRPr="00715AAE">
        <w:rPr>
          <w:rFonts w:ascii="Times New Roman" w:hAnsi="Times New Roman" w:cs="Times New Roman"/>
        </w:rPr>
        <w:t>Frontiers</w:t>
      </w:r>
      <w:proofErr w:type="spellEnd"/>
      <w:r w:rsidRPr="00715AAE">
        <w:rPr>
          <w:rFonts w:ascii="Times New Roman" w:hAnsi="Times New Roman" w:cs="Times New Roman"/>
        </w:rPr>
        <w:t xml:space="preserve"> e MDPI. Filtramos os artigos para focar especificamente no público adolescente (12 a 18 anos) e selecionamos três estudos principais para análise aprofundada. Os resultados mostraram um cenário de faca de dois gumes: por um lado, a IA ajuda alunos que têm dificuldade de concentração e organização, servindo como um "andaime" útil. Por outro, o uso sem critério leva a uma terceirização cognitiva (</w:t>
      </w:r>
      <w:proofErr w:type="spellStart"/>
      <w:r w:rsidRPr="00715AAE">
        <w:rPr>
          <w:rFonts w:ascii="Times New Roman" w:hAnsi="Times New Roman" w:cs="Times New Roman"/>
          <w:i/>
          <w:iCs/>
        </w:rPr>
        <w:t>cognitive</w:t>
      </w:r>
      <w:proofErr w:type="spellEnd"/>
      <w:r w:rsidRPr="00715A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5AAE">
        <w:rPr>
          <w:rFonts w:ascii="Times New Roman" w:hAnsi="Times New Roman" w:cs="Times New Roman"/>
          <w:i/>
          <w:iCs/>
        </w:rPr>
        <w:t>offloading</w:t>
      </w:r>
      <w:proofErr w:type="spellEnd"/>
      <w:r w:rsidRPr="00715AAE">
        <w:rPr>
          <w:rFonts w:ascii="Times New Roman" w:hAnsi="Times New Roman" w:cs="Times New Roman"/>
        </w:rPr>
        <w:t>), em que o jovem delega o raciocínio para a máquina, o que enfraquece o pensamento crítico e a capacidade de resolver problemas sozinho. Em conclusão, a IA em si não é prejudicial, mas o impacto depende de como ela é usada. Ficou evidente a necessidade urgente de mediação pedagógica nas escolas e de alfabetização em IA, para ensinar os adolescentes a usar a tecnologia de forma crítica e não apenas como um atalho para evitar o esforço mental. A pesquisa também apontou a falta de estudos longos que acompanhem esses jovens por mais tempo.</w:t>
      </w:r>
    </w:p>
    <w:p w14:paraId="4B8BAB96" w14:textId="77777777" w:rsidR="00715AAE" w:rsidRDefault="00715AAE" w:rsidP="00A5090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15AAE">
        <w:rPr>
          <w:rFonts w:ascii="Times New Roman" w:hAnsi="Times New Roman" w:cs="Times New Roman"/>
        </w:rPr>
        <w:t>Palavras-chave: Inteligência Artificial. Desenvolvimento Cognitivo. Adolescentes.</w:t>
      </w:r>
    </w:p>
    <w:p w14:paraId="0D63AFEA" w14:textId="77777777" w:rsidR="00715AAE" w:rsidRDefault="00715AAE" w:rsidP="00A5090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4164A68F" w14:textId="3D078121" w:rsidR="00715AAE" w:rsidRPr="00715AAE" w:rsidRDefault="00715AAE" w:rsidP="00A5090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15AAE">
        <w:rPr>
          <w:rFonts w:ascii="Times New Roman" w:hAnsi="Times New Roman" w:cs="Times New Roman"/>
          <w:b/>
          <w:bCs/>
        </w:rPr>
        <w:t>REFERÊNCIAS</w:t>
      </w:r>
      <w:r w:rsidRPr="00715AAE">
        <w:rPr>
          <w:rFonts w:ascii="Times New Roman" w:hAnsi="Times New Roman" w:cs="Times New Roman"/>
        </w:rPr>
        <w:t xml:space="preserve"> GIANSANTI, Daniele; COSENZA, Claudia. Artificial </w:t>
      </w:r>
      <w:proofErr w:type="spellStart"/>
      <w:r w:rsidRPr="00715AAE">
        <w:rPr>
          <w:rFonts w:ascii="Times New Roman" w:hAnsi="Times New Roman" w:cs="Times New Roman"/>
        </w:rPr>
        <w:t>Intelligence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and</w:t>
      </w:r>
      <w:proofErr w:type="spellEnd"/>
      <w:r w:rsidRPr="00715AAE">
        <w:rPr>
          <w:rFonts w:ascii="Times New Roman" w:hAnsi="Times New Roman" w:cs="Times New Roman"/>
        </w:rPr>
        <w:t xml:space="preserve"> Youth: </w:t>
      </w:r>
      <w:proofErr w:type="spellStart"/>
      <w:r w:rsidRPr="00715AAE">
        <w:rPr>
          <w:rFonts w:ascii="Times New Roman" w:hAnsi="Times New Roman" w:cs="Times New Roman"/>
        </w:rPr>
        <w:t>Cognitive</w:t>
      </w:r>
      <w:proofErr w:type="spellEnd"/>
      <w:r w:rsidRPr="00715AAE">
        <w:rPr>
          <w:rFonts w:ascii="Times New Roman" w:hAnsi="Times New Roman" w:cs="Times New Roman"/>
        </w:rPr>
        <w:t xml:space="preserve">, </w:t>
      </w:r>
      <w:proofErr w:type="spellStart"/>
      <w:r w:rsidRPr="00715AAE">
        <w:rPr>
          <w:rFonts w:ascii="Times New Roman" w:hAnsi="Times New Roman" w:cs="Times New Roman"/>
        </w:rPr>
        <w:t>Educational</w:t>
      </w:r>
      <w:proofErr w:type="spellEnd"/>
      <w:r w:rsidRPr="00715AAE">
        <w:rPr>
          <w:rFonts w:ascii="Times New Roman" w:hAnsi="Times New Roman" w:cs="Times New Roman"/>
        </w:rPr>
        <w:t xml:space="preserve">, </w:t>
      </w:r>
      <w:proofErr w:type="spellStart"/>
      <w:r w:rsidRPr="00715AAE">
        <w:rPr>
          <w:rFonts w:ascii="Times New Roman" w:hAnsi="Times New Roman" w:cs="Times New Roman"/>
        </w:rPr>
        <w:t>and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Behavioral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Impacts</w:t>
      </w:r>
      <w:proofErr w:type="spellEnd"/>
      <w:r w:rsidRPr="00715AAE">
        <w:rPr>
          <w:rFonts w:ascii="Times New Roman" w:hAnsi="Times New Roman" w:cs="Times New Roman"/>
        </w:rPr>
        <w:t xml:space="preserve">. </w:t>
      </w:r>
      <w:r w:rsidRPr="00715AAE">
        <w:rPr>
          <w:rFonts w:ascii="Times New Roman" w:hAnsi="Times New Roman" w:cs="Times New Roman"/>
          <w:b/>
          <w:bCs/>
        </w:rPr>
        <w:t>AI</w:t>
      </w:r>
      <w:r w:rsidRPr="00715AAE">
        <w:rPr>
          <w:rFonts w:ascii="Times New Roman" w:hAnsi="Times New Roman" w:cs="Times New Roman"/>
        </w:rPr>
        <w:t xml:space="preserve">, v. 7, n. 4, art. 121, p. 1-32, 2026. KLARIN, Johan; HOFF, Eva; LARSSON, Adam; DAUKANTAITĖ, </w:t>
      </w:r>
      <w:proofErr w:type="spellStart"/>
      <w:r w:rsidRPr="00715AAE">
        <w:rPr>
          <w:rFonts w:ascii="Times New Roman" w:hAnsi="Times New Roman" w:cs="Times New Roman"/>
        </w:rPr>
        <w:t>Daiva</w:t>
      </w:r>
      <w:proofErr w:type="spellEnd"/>
      <w:r w:rsidRPr="00715AAE">
        <w:rPr>
          <w:rFonts w:ascii="Times New Roman" w:hAnsi="Times New Roman" w:cs="Times New Roman"/>
        </w:rPr>
        <w:t xml:space="preserve">. </w:t>
      </w:r>
      <w:proofErr w:type="spellStart"/>
      <w:r w:rsidRPr="00715AAE">
        <w:rPr>
          <w:rFonts w:ascii="Times New Roman" w:hAnsi="Times New Roman" w:cs="Times New Roman"/>
        </w:rPr>
        <w:t>Adolescents</w:t>
      </w:r>
      <w:proofErr w:type="spellEnd"/>
      <w:r w:rsidRPr="00715AAE">
        <w:rPr>
          <w:rFonts w:ascii="Times New Roman" w:hAnsi="Times New Roman" w:cs="Times New Roman"/>
        </w:rPr>
        <w:t xml:space="preserve">' </w:t>
      </w:r>
      <w:r w:rsidRPr="00715AAE">
        <w:rPr>
          <w:rFonts w:ascii="Times New Roman" w:hAnsi="Times New Roman" w:cs="Times New Roman"/>
        </w:rPr>
        <w:lastRenderedPageBreak/>
        <w:t xml:space="preserve">use </w:t>
      </w:r>
      <w:proofErr w:type="spellStart"/>
      <w:r w:rsidRPr="00715AAE">
        <w:rPr>
          <w:rFonts w:ascii="Times New Roman" w:hAnsi="Times New Roman" w:cs="Times New Roman"/>
        </w:rPr>
        <w:t>and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perceived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usefulness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of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generative</w:t>
      </w:r>
      <w:proofErr w:type="spellEnd"/>
      <w:r w:rsidRPr="00715AAE">
        <w:rPr>
          <w:rFonts w:ascii="Times New Roman" w:hAnsi="Times New Roman" w:cs="Times New Roman"/>
        </w:rPr>
        <w:t xml:space="preserve"> AI for </w:t>
      </w:r>
      <w:proofErr w:type="spellStart"/>
      <w:r w:rsidRPr="00715AAE">
        <w:rPr>
          <w:rFonts w:ascii="Times New Roman" w:hAnsi="Times New Roman" w:cs="Times New Roman"/>
        </w:rPr>
        <w:t>schoolwork</w:t>
      </w:r>
      <w:proofErr w:type="spellEnd"/>
      <w:r w:rsidRPr="00715AAE">
        <w:rPr>
          <w:rFonts w:ascii="Times New Roman" w:hAnsi="Times New Roman" w:cs="Times New Roman"/>
        </w:rPr>
        <w:t xml:space="preserve">: </w:t>
      </w:r>
      <w:proofErr w:type="spellStart"/>
      <w:r w:rsidRPr="00715AAE">
        <w:rPr>
          <w:rFonts w:ascii="Times New Roman" w:hAnsi="Times New Roman" w:cs="Times New Roman"/>
        </w:rPr>
        <w:t>exploring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their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relationships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with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executive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functioning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and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academic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achievement</w:t>
      </w:r>
      <w:proofErr w:type="spellEnd"/>
      <w:r w:rsidRPr="00715AAE">
        <w:rPr>
          <w:rFonts w:ascii="Times New Roman" w:hAnsi="Times New Roman" w:cs="Times New Roman"/>
        </w:rPr>
        <w:t xml:space="preserve">. </w:t>
      </w:r>
      <w:proofErr w:type="spellStart"/>
      <w:r w:rsidRPr="00715AAE">
        <w:rPr>
          <w:rFonts w:ascii="Times New Roman" w:hAnsi="Times New Roman" w:cs="Times New Roman"/>
          <w:b/>
          <w:bCs/>
        </w:rPr>
        <w:t>Frontiers</w:t>
      </w:r>
      <w:proofErr w:type="spellEnd"/>
      <w:r w:rsidRPr="00715AAE">
        <w:rPr>
          <w:rFonts w:ascii="Times New Roman" w:hAnsi="Times New Roman" w:cs="Times New Roman"/>
          <w:b/>
          <w:bCs/>
        </w:rPr>
        <w:t xml:space="preserve"> in Artificial </w:t>
      </w:r>
      <w:proofErr w:type="spellStart"/>
      <w:r w:rsidRPr="00715AAE">
        <w:rPr>
          <w:rFonts w:ascii="Times New Roman" w:hAnsi="Times New Roman" w:cs="Times New Roman"/>
          <w:b/>
          <w:bCs/>
        </w:rPr>
        <w:t>Intelligence</w:t>
      </w:r>
      <w:proofErr w:type="spellEnd"/>
      <w:r w:rsidRPr="00715AAE">
        <w:rPr>
          <w:rFonts w:ascii="Times New Roman" w:hAnsi="Times New Roman" w:cs="Times New Roman"/>
        </w:rPr>
        <w:t xml:space="preserve">, v. 7, art. 1415782, p. 1-15, 2024. MAIK, Piotr Zenon. The use </w:t>
      </w:r>
      <w:proofErr w:type="spellStart"/>
      <w:r w:rsidRPr="00715AAE">
        <w:rPr>
          <w:rFonts w:ascii="Times New Roman" w:hAnsi="Times New Roman" w:cs="Times New Roman"/>
        </w:rPr>
        <w:t>of</w:t>
      </w:r>
      <w:proofErr w:type="spellEnd"/>
      <w:r w:rsidRPr="00715AAE">
        <w:rPr>
          <w:rFonts w:ascii="Times New Roman" w:hAnsi="Times New Roman" w:cs="Times New Roman"/>
        </w:rPr>
        <w:t xml:space="preserve"> artificial </w:t>
      </w:r>
      <w:proofErr w:type="spellStart"/>
      <w:r w:rsidRPr="00715AAE">
        <w:rPr>
          <w:rFonts w:ascii="Times New Roman" w:hAnsi="Times New Roman" w:cs="Times New Roman"/>
        </w:rPr>
        <w:t>intelligence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and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the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intellectual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development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of</w:t>
      </w:r>
      <w:proofErr w:type="spellEnd"/>
      <w:r w:rsidRPr="00715AAE">
        <w:rPr>
          <w:rFonts w:ascii="Times New Roman" w:hAnsi="Times New Roman" w:cs="Times New Roman"/>
        </w:rPr>
        <w:t xml:space="preserve"> </w:t>
      </w:r>
      <w:proofErr w:type="spellStart"/>
      <w:r w:rsidRPr="00715AAE">
        <w:rPr>
          <w:rFonts w:ascii="Times New Roman" w:hAnsi="Times New Roman" w:cs="Times New Roman"/>
        </w:rPr>
        <w:t>adolescents</w:t>
      </w:r>
      <w:proofErr w:type="spellEnd"/>
      <w:r w:rsidRPr="00715AAE">
        <w:rPr>
          <w:rFonts w:ascii="Times New Roman" w:hAnsi="Times New Roman" w:cs="Times New Roman"/>
        </w:rPr>
        <w:t xml:space="preserve"> – A </w:t>
      </w:r>
      <w:proofErr w:type="spellStart"/>
      <w:r w:rsidRPr="00715AAE">
        <w:rPr>
          <w:rFonts w:ascii="Times New Roman" w:hAnsi="Times New Roman" w:cs="Times New Roman"/>
        </w:rPr>
        <w:t>literature</w:t>
      </w:r>
      <w:proofErr w:type="spellEnd"/>
      <w:r w:rsidRPr="00715AAE">
        <w:rPr>
          <w:rFonts w:ascii="Times New Roman" w:hAnsi="Times New Roman" w:cs="Times New Roman"/>
        </w:rPr>
        <w:t xml:space="preserve"> review. </w:t>
      </w:r>
      <w:proofErr w:type="spellStart"/>
      <w:r w:rsidRPr="00715AAE">
        <w:rPr>
          <w:rFonts w:ascii="Times New Roman" w:hAnsi="Times New Roman" w:cs="Times New Roman"/>
          <w:b/>
          <w:bCs/>
        </w:rPr>
        <w:t>Rozprawy</w:t>
      </w:r>
      <w:proofErr w:type="spellEnd"/>
      <w:r w:rsidRPr="00715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5AAE">
        <w:rPr>
          <w:rFonts w:ascii="Times New Roman" w:hAnsi="Times New Roman" w:cs="Times New Roman"/>
          <w:b/>
          <w:bCs/>
        </w:rPr>
        <w:t>Społeczne</w:t>
      </w:r>
      <w:proofErr w:type="spellEnd"/>
      <w:r w:rsidRPr="00715AAE">
        <w:rPr>
          <w:rFonts w:ascii="Times New Roman" w:hAnsi="Times New Roman" w:cs="Times New Roman"/>
          <w:b/>
          <w:bCs/>
        </w:rPr>
        <w:t xml:space="preserve"> / Social </w:t>
      </w:r>
      <w:proofErr w:type="spellStart"/>
      <w:r w:rsidRPr="00715AAE">
        <w:rPr>
          <w:rFonts w:ascii="Times New Roman" w:hAnsi="Times New Roman" w:cs="Times New Roman"/>
          <w:b/>
          <w:bCs/>
        </w:rPr>
        <w:t>Dissertations</w:t>
      </w:r>
      <w:proofErr w:type="spellEnd"/>
      <w:r w:rsidRPr="00715AAE">
        <w:rPr>
          <w:rFonts w:ascii="Times New Roman" w:hAnsi="Times New Roman" w:cs="Times New Roman"/>
        </w:rPr>
        <w:t>, v. 20, n. 1, p. 194-210, 2026.</w:t>
      </w:r>
    </w:p>
    <w:p w14:paraId="050B04C7" w14:textId="77777777" w:rsidR="00715AAE" w:rsidRPr="00715AAE" w:rsidRDefault="00715AAE" w:rsidP="00A5090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24AED171" w14:textId="77777777" w:rsidR="00715AAE" w:rsidRPr="00715AAE" w:rsidRDefault="00715AAE" w:rsidP="00A5090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sectPr w:rsidR="00715AAE" w:rsidRPr="00715AAE" w:rsidSect="00A50907">
      <w:footerReference w:type="default" r:id="rId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BCE7D" w14:textId="77777777" w:rsidR="00305159" w:rsidRDefault="00305159" w:rsidP="00A50907">
      <w:pPr>
        <w:spacing w:after="0" w:line="240" w:lineRule="auto"/>
      </w:pPr>
      <w:r>
        <w:separator/>
      </w:r>
    </w:p>
  </w:endnote>
  <w:endnote w:type="continuationSeparator" w:id="0">
    <w:p w14:paraId="6E820166" w14:textId="77777777" w:rsidR="00305159" w:rsidRDefault="00305159" w:rsidP="00A50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739084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BFF4A3C" w14:textId="65E72F60" w:rsidR="00A50907" w:rsidRPr="00A50907" w:rsidRDefault="00A50907">
        <w:pPr>
          <w:pStyle w:val="Rodap"/>
          <w:jc w:val="right"/>
          <w:rPr>
            <w:rFonts w:ascii="Times New Roman" w:hAnsi="Times New Roman" w:cs="Times New Roman"/>
          </w:rPr>
        </w:pPr>
        <w:r w:rsidRPr="00A50907">
          <w:rPr>
            <w:rFonts w:ascii="Times New Roman" w:hAnsi="Times New Roman" w:cs="Times New Roman"/>
          </w:rPr>
          <w:fldChar w:fldCharType="begin"/>
        </w:r>
        <w:r w:rsidRPr="00A50907">
          <w:rPr>
            <w:rFonts w:ascii="Times New Roman" w:hAnsi="Times New Roman" w:cs="Times New Roman"/>
          </w:rPr>
          <w:instrText>PAGE   \* MERGEFORMAT</w:instrText>
        </w:r>
        <w:r w:rsidRPr="00A50907">
          <w:rPr>
            <w:rFonts w:ascii="Times New Roman" w:hAnsi="Times New Roman" w:cs="Times New Roman"/>
          </w:rPr>
          <w:fldChar w:fldCharType="separate"/>
        </w:r>
        <w:r w:rsidRPr="00A50907">
          <w:rPr>
            <w:rFonts w:ascii="Times New Roman" w:hAnsi="Times New Roman" w:cs="Times New Roman"/>
          </w:rPr>
          <w:t>2</w:t>
        </w:r>
        <w:r w:rsidRPr="00A50907">
          <w:rPr>
            <w:rFonts w:ascii="Times New Roman" w:hAnsi="Times New Roman" w:cs="Times New Roman"/>
          </w:rPr>
          <w:fldChar w:fldCharType="end"/>
        </w:r>
      </w:p>
    </w:sdtContent>
  </w:sdt>
  <w:p w14:paraId="25B243CF" w14:textId="77777777" w:rsidR="00A50907" w:rsidRDefault="00A509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A09FF" w14:textId="77777777" w:rsidR="00305159" w:rsidRDefault="00305159" w:rsidP="00A50907">
      <w:pPr>
        <w:spacing w:after="0" w:line="240" w:lineRule="auto"/>
      </w:pPr>
      <w:r>
        <w:separator/>
      </w:r>
    </w:p>
  </w:footnote>
  <w:footnote w:type="continuationSeparator" w:id="0">
    <w:p w14:paraId="7C93A7F0" w14:textId="77777777" w:rsidR="00305159" w:rsidRDefault="00305159" w:rsidP="00A509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AAE"/>
    <w:rsid w:val="00305159"/>
    <w:rsid w:val="003C0986"/>
    <w:rsid w:val="00715AAE"/>
    <w:rsid w:val="00A50907"/>
    <w:rsid w:val="00BB7368"/>
    <w:rsid w:val="00E0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B8756"/>
  <w15:chartTrackingRefBased/>
  <w15:docId w15:val="{E269E6F2-455F-4DBB-8843-D37E9FC3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5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5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5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5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5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5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5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5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5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5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5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5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5A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5A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5A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5A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5A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5A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5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5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5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5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5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5A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5A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5A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5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5A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5AA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509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50907"/>
  </w:style>
  <w:style w:type="paragraph" w:styleId="Rodap">
    <w:name w:val="footer"/>
    <w:basedOn w:val="Normal"/>
    <w:link w:val="RodapChar"/>
    <w:uiPriority w:val="99"/>
    <w:unhideWhenUsed/>
    <w:rsid w:val="00A509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50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393</Words>
  <Characters>2125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ARES GONTIJO PINTO</dc:creator>
  <cp:keywords/>
  <dc:description/>
  <cp:lastModifiedBy>DANIEL ARES GONTIJO PINTO</cp:lastModifiedBy>
  <cp:revision>2</cp:revision>
  <dcterms:created xsi:type="dcterms:W3CDTF">2026-10-15T20:55:00Z</dcterms:created>
  <dcterms:modified xsi:type="dcterms:W3CDTF">2026-10-15T21:06:00Z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2026-10-15T21:01:10Z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87c36cc7-f972-4984-9fe5-f838ca518b8f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