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5.png" ContentType="image/png"/>
  <Override PartName="/word/media/rId3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rPr>
          <w:bCs/>
          <w:b/>
        </w:rPr>
        <w:t xml:space="preserve">[Author names withheld — to be completed]</w:t>
      </w:r>
    </w:p>
    <w:p>
      <w:pPr>
        <w:pStyle w:val="BodyText"/>
      </w:pPr>
      <w:r>
        <w:rPr>
          <w:bCs/>
          <w:b/>
        </w:rPr>
        <w:t xml:space="preserve">Target venue:</w:t>
      </w:r>
      <w:r>
        <w:t xml:space="preserve"> </w:t>
      </w:r>
      <w:r>
        <w:t xml:space="preserve">Quantitative Science Studies (or Scientometrics / Journal of Informetrics as alternatives)</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Mapping this structure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particularly the Louvain algorithm (Blondel et al., 2008), has become the standard tool for partitioning co-citation and bibliographic-coupling networks into thematic clusters, building on the modularity framework of Newman (2006). A known but under-discussed property of Louvain is its sensitivity to node insertion order in unweighted or naively reconstructed graphs; we document a concrete instance of this problem and its fix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and bibliometrix (Aria &amp; Cuccurullo, 2017) have made single-field science mapping widely accessible, and overlay-mapping approaches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(e.g.,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We contribute a concrete, reproducible protocol — resolving top-PageRank references to real titles via OpenAlex, then prompting a language model for a short name and description — together with the human quality-assurance checks needed to catch a specific failure mode: near-duplicate cluster names produced when a single coherent perspective is spuriously split (Section 3.7).</w:t>
      </w:r>
    </w:p>
    <w:p>
      <w:r>
        <w:pict>
          <v:rect style="width:0;height:1.5pt" o:hralign="center" o:hrstd="t" o:hr="t"/>
        </w:pict>
      </w:r>
    </w:p>
    <w:bookmarkEnd w:id="22"/>
    <w:bookmarkStart w:id="33" w:name="methods"/>
    <w:p>
      <w:pPr>
        <w:pStyle w:val="Heading2"/>
      </w:pPr>
      <w:r>
        <w:t xml:space="preserve">3. Methods</w:t>
      </w:r>
    </w:p>
    <w:p>
      <w:pPr>
        <w:pStyle w:val="CaptionedFigure"/>
      </w:pPr>
      <w:r>
        <w:drawing>
          <wp:inline>
            <wp:extent cx="5334000" cy="1215364"/>
            <wp:effectExtent b="0" l="0" r="0" t="0"/>
            <wp:docPr descr="Methodological pipeline: from Web of Science title search to the Index of Perspective Fragmentation (six stages)."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ImageCaption"/>
      </w:pP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Web of Science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CaptionedFigure"/>
      </w:pPr>
      <w:r>
        <w:drawing>
          <wp:inline>
            <wp:extent cx="5334000" cy="3565708"/>
            <wp:effectExtent b="0" l="0" r="0" t="0"/>
            <wp:docPr descr="Co-citation network of the RVRP literature under the controlled replication (identical 469-article corpus to the anchor study, Topic search)."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4"/>
                    <a:stretch>
                      <a:fillRect/>
                    </a:stretch>
                  </pic:blipFill>
                  <pic:spPr bwMode="auto">
                    <a:xfrm>
                      <a:off x="0" y="0"/>
                      <a:ext cx="5334000" cy="3565708"/>
                    </a:xfrm>
                    <a:prstGeom prst="rect">
                      <a:avLst/>
                    </a:prstGeom>
                    <a:noFill/>
                    <a:ln w="9525">
                      <a:noFill/>
                      <a:headEnd/>
                      <a:tailEnd/>
                    </a:ln>
                  </pic:spPr>
                </pic:pic>
              </a:graphicData>
            </a:graphic>
          </wp:inline>
        </w:drawing>
      </w:r>
    </w:p>
    <w:p>
      <w:pPr>
        <w:pStyle w:val="ImageCaption"/>
      </w:pPr>
      <w:r>
        <w:t xml:space="preserve">Co-citation network of the RVRP literature under the controlled replication (identical 469-article corpus to the anchor study, Topic search).</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p>
      <w:pPr>
        <w:pStyle w:val="CaptionedFigure"/>
      </w:pPr>
      <w:r>
        <w:drawing>
          <wp:inline>
            <wp:extent cx="5334000" cy="3593084"/>
            <wp:effectExtent b="0" l="0" r="0" t="0"/>
            <wp:docPr descr="Co-citation network of the RVRP anchor field. Node color denotes Louvain community; node size denotes PageRank centrality; only the top-45 most central nodes per cluster and intra-cluster edges are shown for legibility." title="" id="1" name="Picture"/>
            <a:graphic>
              <a:graphicData uri="http://schemas.openxmlformats.org/drawingml/2006/picture">
                <pic:pic>
                  <pic:nvPicPr>
                    <pic:cNvPr descr="../figuras/red_rvrp.png" id="0" name="Picture"/>
                    <pic:cNvPicPr>
                      <a:picLocks noChangeArrowheads="1" noChangeAspect="1"/>
                    </pic:cNvPicPr>
                  </pic:nvPicPr>
                  <pic:blipFill>
                    <a:blip r:embed="rId35"/>
                    <a:stretch>
                      <a:fillRect/>
                    </a:stretch>
                  </pic:blipFill>
                  <pic:spPr bwMode="auto">
                    <a:xfrm>
                      <a:off x="0" y="0"/>
                      <a:ext cx="5334000" cy="3593084"/>
                    </a:xfrm>
                    <a:prstGeom prst="rect">
                      <a:avLst/>
                    </a:prstGeom>
                    <a:noFill/>
                    <a:ln w="9525">
                      <a:noFill/>
                      <a:headEnd/>
                      <a:tailEnd/>
                    </a:ln>
                  </pic:spPr>
                </pic:pic>
              </a:graphicData>
            </a:graphic>
          </wp:inline>
        </w:drawing>
      </w:r>
    </w:p>
    <w:p>
      <w:pPr>
        <w:pStyle w:val="ImageCaption"/>
      </w:pPr>
      <w:r>
        <w:t xml:space="preserve">Co-citation network of the RVRP anchor field. Node color denotes Louvain community; node size denotes PageRank centrality; only the top-45 most central nodes per cluster and intra-cluster edges are shown for legibility.</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CaptionedFigure"/>
      </w:pPr>
      <w:r>
        <w:drawing>
          <wp:inline>
            <wp:extent cx="5334000" cy="3817836"/>
            <wp:effectExtent b="0" l="0" r="0" t="0"/>
            <wp:docPr descr="Co-citation network of Supply Chain Resilience, the field with the lowest observed IFP (0.328)."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ImageCaption"/>
      </w:pPr>
      <w:r>
        <w:t xml:space="preserve">Co-citation network of Supply Chain Resilience, the field with the lowest observed IFP (0.328).</w:t>
      </w:r>
    </w:p>
    <w:p>
      <w:pPr>
        <w:pStyle w:val="CaptionedFigure"/>
      </w:pPr>
      <w:r>
        <w:drawing>
          <wp:inline>
            <wp:extent cx="5334000" cy="3637291"/>
            <wp:effectExtent b="0" l="0" r="0" t="0"/>
            <wp:docPr descr="Co-citation network of Sustainable Urban Mobility, the field with the highest observed IFP (0.640)."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ImageCaption"/>
      </w:pPr>
      <w:r>
        <w:t xml:space="preserve">Co-citation network of Sustainable Urban Mobility, the field with the highest observed IFP (0.640).</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880"/>
        <w:gridCol w:w="1173"/>
        <w:gridCol w:w="1173"/>
        <w:gridCol w:w="1173"/>
        <w:gridCol w:w="1173"/>
        <w:gridCol w:w="1173"/>
        <w:gridCol w:w="1173"/>
      </w:tblGrid>
      <w:tr>
        <w:tc>
          <w:p>
            <w:pPr>
              <w:pStyle w:val="Compact"/>
              <w:jc w:val="left"/>
            </w:pPr>
            <w:r>
              <w:t xml:space="preserve">Field</w:t>
            </w:r>
          </w:p>
        </w:tc>
        <w:tc>
          <w:p>
            <w:pPr>
              <w:pStyle w:val="Compact"/>
              <w:jc w:val="right"/>
            </w:pPr>
            <w:r>
              <w:t xml:space="preserve">Articles (n)</w:t>
            </w:r>
          </w:p>
        </w:tc>
        <w:tc>
          <w:p>
            <w:pPr>
              <w:pStyle w:val="Compact"/>
              <w:jc w:val="right"/>
            </w:pPr>
            <w:r>
              <w:t xml:space="preserve">Network nodes</w:t>
            </w:r>
          </w:p>
        </w:tc>
        <w:tc>
          <w:p>
            <w:pPr>
              <w:pStyle w:val="Compact"/>
              <w:jc w:val="right"/>
            </w:pPr>
            <w:r>
              <w:t xml:space="preserve">Perspectives</w:t>
            </w:r>
          </w:p>
        </w:tc>
        <w:tc>
          <w:p>
            <w:pPr>
              <w:pStyle w:val="Compact"/>
              <w:jc w:val="right"/>
            </w:pPr>
            <w:r>
              <w:t xml:space="preserve">IFP</w:t>
            </w:r>
          </w:p>
        </w:tc>
        <w:tc>
          <w:p>
            <w:pPr>
              <w:pStyle w:val="Compact"/>
              <w:jc w:val="right"/>
            </w:pPr>
            <w:r>
              <w:t xml:space="preserve">Modularity (Q)</w:t>
            </w:r>
          </w:p>
        </w:tc>
        <w:tc>
          <w:p>
            <w:pPr>
              <w:pStyle w:val="Compact"/>
              <w:jc w:val="right"/>
            </w:pPr>
            <w:r>
              <w:t xml:space="preserve">Inter-cluster prop.</w:t>
            </w:r>
          </w:p>
        </w:tc>
      </w:tr>
      <w:tr>
        <w:tc>
          <w:p>
            <w:pPr>
              <w:pStyle w:val="Compact"/>
              <w:jc w:val="left"/>
            </w:pPr>
            <w:r>
              <w:t xml:space="preserve">Supply Chain Resilience</w:t>
            </w:r>
          </w:p>
        </w:tc>
        <w:tc>
          <w:p>
            <w:pPr>
              <w:pStyle w:val="Compact"/>
              <w:jc w:val="right"/>
            </w:pPr>
            <w:r>
              <w:t xml:space="preserve">534</w:t>
            </w:r>
          </w:p>
        </w:tc>
        <w:tc>
          <w:p>
            <w:pPr>
              <w:pStyle w:val="Compact"/>
              <w:jc w:val="right"/>
            </w:pPr>
            <w:r>
              <w:t xml:space="preserve">1,892</w:t>
            </w:r>
          </w:p>
        </w:tc>
        <w:tc>
          <w:p>
            <w:pPr>
              <w:pStyle w:val="Compact"/>
              <w:jc w:val="right"/>
            </w:pPr>
            <w:r>
              <w:t xml:space="preserve">3</w:t>
            </w:r>
          </w:p>
        </w:tc>
        <w:tc>
          <w:p>
            <w:pPr>
              <w:pStyle w:val="Compact"/>
              <w:jc w:val="right"/>
            </w:pPr>
            <w:r>
              <w:t xml:space="preserve">0.328</w:t>
            </w:r>
          </w:p>
        </w:tc>
        <w:tc>
          <w:p>
            <w:pPr>
              <w:pStyle w:val="Compact"/>
              <w:jc w:val="right"/>
            </w:pPr>
            <w:r>
              <w:t xml:space="preserve">0.297</w:t>
            </w:r>
          </w:p>
        </w:tc>
        <w:tc>
          <w:p>
            <w:pPr>
              <w:pStyle w:val="Compact"/>
              <w:jc w:val="right"/>
            </w:pPr>
            <w:r>
              <w:t xml:space="preserve">0.313</w:t>
            </w:r>
          </w:p>
        </w:tc>
      </w:tr>
      <w:tr>
        <w:tc>
          <w:p>
            <w:pPr>
              <w:pStyle w:val="Compact"/>
              <w:jc w:val="left"/>
            </w:pPr>
            <w:r>
              <w:t xml:space="preserve">Research Integrity</w:t>
            </w:r>
          </w:p>
        </w:tc>
        <w:tc>
          <w:p>
            <w:pPr>
              <w:pStyle w:val="Compact"/>
              <w:jc w:val="right"/>
            </w:pPr>
            <w:r>
              <w:t xml:space="preserve">1,053</w:t>
            </w:r>
          </w:p>
        </w:tc>
        <w:tc>
          <w:p>
            <w:pPr>
              <w:pStyle w:val="Compact"/>
              <w:jc w:val="right"/>
            </w:pPr>
            <w:r>
              <w:t xml:space="preserve">1,956</w:t>
            </w:r>
          </w:p>
        </w:tc>
        <w:tc>
          <w:p>
            <w:pPr>
              <w:pStyle w:val="Compact"/>
              <w:jc w:val="right"/>
            </w:pPr>
            <w:r>
              <w:t xml:space="preserve">4</w:t>
            </w:r>
          </w:p>
        </w:tc>
        <w:tc>
          <w:p>
            <w:pPr>
              <w:pStyle w:val="Compact"/>
              <w:jc w:val="right"/>
            </w:pPr>
            <w:r>
              <w:t xml:space="preserve">0.370</w:t>
            </w:r>
          </w:p>
        </w:tc>
        <w:tc>
          <w:p>
            <w:pPr>
              <w:pStyle w:val="Compact"/>
              <w:jc w:val="right"/>
            </w:pPr>
            <w:r>
              <w:t xml:space="preserve">0.536</w:t>
            </w:r>
          </w:p>
        </w:tc>
        <w:tc>
          <w:p>
            <w:pPr>
              <w:pStyle w:val="Compact"/>
              <w:jc w:val="right"/>
            </w:pPr>
            <w:r>
              <w:t xml:space="preserve">0.075</w:t>
            </w:r>
          </w:p>
        </w:tc>
      </w:tr>
      <w:tr>
        <w:tc>
          <w:p>
            <w:pPr>
              <w:pStyle w:val="Compact"/>
              <w:jc w:val="left"/>
            </w:pPr>
            <w:r>
              <w:t xml:space="preserve">Corporate Social Responsibility</w:t>
            </w:r>
          </w:p>
        </w:tc>
        <w:tc>
          <w:p>
            <w:pPr>
              <w:pStyle w:val="Compact"/>
              <w:jc w:val="right"/>
            </w:pPr>
            <w:r>
              <w:t xml:space="preserve">1,617</w:t>
            </w:r>
          </w:p>
        </w:tc>
        <w:tc>
          <w:p>
            <w:pPr>
              <w:pStyle w:val="Compact"/>
              <w:jc w:val="right"/>
            </w:pPr>
            <w:r>
              <w:t xml:space="preserve">2,075</w:t>
            </w:r>
          </w:p>
        </w:tc>
        <w:tc>
          <w:p>
            <w:pPr>
              <w:pStyle w:val="Compact"/>
              <w:jc w:val="right"/>
            </w:pPr>
            <w:r>
              <w:t xml:space="preserve">4</w:t>
            </w:r>
          </w:p>
        </w:tc>
        <w:tc>
          <w:p>
            <w:pPr>
              <w:pStyle w:val="Compact"/>
              <w:jc w:val="right"/>
            </w:pPr>
            <w:r>
              <w:t xml:space="preserve">0.372</w:t>
            </w:r>
          </w:p>
        </w:tc>
        <w:tc>
          <w:p>
            <w:pPr>
              <w:pStyle w:val="Compact"/>
              <w:jc w:val="right"/>
            </w:pPr>
            <w:r>
              <w:t xml:space="preserve">0.359</w:t>
            </w:r>
          </w:p>
        </w:tc>
        <w:tc>
          <w:p>
            <w:pPr>
              <w:pStyle w:val="Compact"/>
              <w:jc w:val="right"/>
            </w:pPr>
            <w:r>
              <w:t xml:space="preserve">0.256</w:t>
            </w:r>
          </w:p>
        </w:tc>
      </w:tr>
      <w:tr>
        <w:tc>
          <w:p>
            <w:pPr>
              <w:pStyle w:val="Compact"/>
              <w:jc w:val="left"/>
            </w:pPr>
            <w:r>
              <w:t xml:space="preserve">CRISPR Gene Editing</w:t>
            </w:r>
          </w:p>
        </w:tc>
        <w:tc>
          <w:p>
            <w:pPr>
              <w:pStyle w:val="Compact"/>
              <w:jc w:val="right"/>
            </w:pPr>
            <w:r>
              <w:t xml:space="preserve">1,592</w:t>
            </w:r>
          </w:p>
        </w:tc>
        <w:tc>
          <w:p>
            <w:pPr>
              <w:pStyle w:val="Compact"/>
              <w:jc w:val="right"/>
            </w:pPr>
            <w:r>
              <w:t xml:space="preserve">2,123</w:t>
            </w:r>
          </w:p>
        </w:tc>
        <w:tc>
          <w:p>
            <w:pPr>
              <w:pStyle w:val="Compact"/>
              <w:jc w:val="right"/>
            </w:pPr>
            <w:r>
              <w:t xml:space="preserve">4</w:t>
            </w:r>
          </w:p>
        </w:tc>
        <w:tc>
          <w:p>
            <w:pPr>
              <w:pStyle w:val="Compact"/>
              <w:jc w:val="right"/>
            </w:pPr>
            <w:r>
              <w:t xml:space="preserve">0.379</w:t>
            </w:r>
          </w:p>
        </w:tc>
        <w:tc>
          <w:p>
            <w:pPr>
              <w:pStyle w:val="Compact"/>
              <w:jc w:val="right"/>
            </w:pPr>
            <w:r>
              <w:t xml:space="preserve">0.308</w:t>
            </w:r>
          </w:p>
        </w:tc>
        <w:tc>
          <w:p>
            <w:pPr>
              <w:pStyle w:val="Compact"/>
              <w:jc w:val="right"/>
            </w:pPr>
            <w:r>
              <w:t xml:space="preserve">0.330</w:t>
            </w:r>
          </w:p>
        </w:tc>
      </w:tr>
      <w:tr>
        <w:tc>
          <w:p>
            <w:pPr>
              <w:pStyle w:val="Compact"/>
              <w:jc w:val="left"/>
            </w:pPr>
            <w:r>
              <w:t xml:space="preserve">AI Ethics</w:t>
            </w:r>
          </w:p>
        </w:tc>
        <w:tc>
          <w:p>
            <w:pPr>
              <w:pStyle w:val="Compact"/>
              <w:jc w:val="right"/>
            </w:pPr>
            <w:r>
              <w:t xml:space="preserve">398</w:t>
            </w:r>
          </w:p>
        </w:tc>
        <w:tc>
          <w:p>
            <w:pPr>
              <w:pStyle w:val="Compact"/>
              <w:jc w:val="right"/>
            </w:pPr>
            <w:r>
              <w:t xml:space="preserve">1,217</w:t>
            </w:r>
          </w:p>
        </w:tc>
        <w:tc>
          <w:p>
            <w:pPr>
              <w:pStyle w:val="Compact"/>
              <w:jc w:val="right"/>
            </w:pPr>
            <w:r>
              <w:t xml:space="preserve">5</w:t>
            </w:r>
          </w:p>
        </w:tc>
        <w:tc>
          <w:p>
            <w:pPr>
              <w:pStyle w:val="Compact"/>
              <w:jc w:val="right"/>
            </w:pPr>
            <w:r>
              <w:t xml:space="preserve">0.441</w:t>
            </w:r>
          </w:p>
        </w:tc>
        <w:tc>
          <w:p>
            <w:pPr>
              <w:pStyle w:val="Compact"/>
              <w:jc w:val="right"/>
            </w:pPr>
            <w:r>
              <w:t xml:space="preserve">0.572</w:t>
            </w:r>
          </w:p>
        </w:tc>
        <w:tc>
          <w:p>
            <w:pPr>
              <w:pStyle w:val="Compact"/>
              <w:jc w:val="right"/>
            </w:pPr>
            <w:r>
              <w:t xml:space="preserve">0.126</w:t>
            </w:r>
          </w:p>
        </w:tc>
      </w:tr>
      <w:tr>
        <w:tc>
          <w:p>
            <w:pPr>
              <w:pStyle w:val="Compact"/>
              <w:jc w:val="left"/>
            </w:pPr>
            <w:r>
              <w:t xml:space="preserve">Circular Economy</w:t>
            </w:r>
          </w:p>
        </w:tc>
        <w:tc>
          <w:p>
            <w:pPr>
              <w:pStyle w:val="Compact"/>
              <w:jc w:val="right"/>
            </w:pPr>
            <w:r>
              <w:t xml:space="preserve">890</w:t>
            </w:r>
          </w:p>
        </w:tc>
        <w:tc>
          <w:p>
            <w:pPr>
              <w:pStyle w:val="Compact"/>
              <w:jc w:val="right"/>
            </w:pPr>
            <w:r>
              <w:t xml:space="preserve">2,105</w:t>
            </w:r>
          </w:p>
        </w:tc>
        <w:tc>
          <w:p>
            <w:pPr>
              <w:pStyle w:val="Compact"/>
              <w:jc w:val="right"/>
            </w:pPr>
            <w:r>
              <w:t xml:space="preserve">5</w:t>
            </w:r>
          </w:p>
        </w:tc>
        <w:tc>
          <w:p>
            <w:pPr>
              <w:pStyle w:val="Compact"/>
              <w:jc w:val="right"/>
            </w:pPr>
            <w:r>
              <w:t xml:space="preserve">0.450</w:t>
            </w:r>
          </w:p>
        </w:tc>
        <w:tc>
          <w:p>
            <w:pPr>
              <w:pStyle w:val="Compact"/>
              <w:jc w:val="right"/>
            </w:pPr>
            <w:r>
              <w:t xml:space="preserve">0.301</w:t>
            </w:r>
          </w:p>
        </w:tc>
        <w:tc>
          <w:p>
            <w:pPr>
              <w:pStyle w:val="Compact"/>
              <w:jc w:val="right"/>
            </w:pPr>
            <w:r>
              <w:t xml:space="preserve">0.424</w:t>
            </w:r>
          </w:p>
        </w:tc>
      </w:tr>
      <w:tr>
        <w:tc>
          <w:p>
            <w:pPr>
              <w:pStyle w:val="Compact"/>
              <w:jc w:val="left"/>
            </w:pPr>
            <w:r>
              <w:t xml:space="preserve">Microplastics</w:t>
            </w:r>
          </w:p>
        </w:tc>
        <w:tc>
          <w:p>
            <w:pPr>
              <w:pStyle w:val="Compact"/>
              <w:jc w:val="right"/>
            </w:pPr>
            <w:r>
              <w:t xml:space="preserve">1,204</w:t>
            </w:r>
          </w:p>
        </w:tc>
        <w:tc>
          <w:p>
            <w:pPr>
              <w:pStyle w:val="Compact"/>
              <w:jc w:val="right"/>
            </w:pPr>
            <w:r>
              <w:t xml:space="preserve">2,077</w:t>
            </w:r>
          </w:p>
        </w:tc>
        <w:tc>
          <w:p>
            <w:pPr>
              <w:pStyle w:val="Compact"/>
              <w:jc w:val="right"/>
            </w:pPr>
            <w:r>
              <w:t xml:space="preserve">6</w:t>
            </w:r>
          </w:p>
        </w:tc>
        <w:tc>
          <w:p>
            <w:pPr>
              <w:pStyle w:val="Compact"/>
              <w:jc w:val="right"/>
            </w:pPr>
            <w:r>
              <w:t xml:space="preserve">0.494</w:t>
            </w:r>
          </w:p>
        </w:tc>
        <w:tc>
          <w:p>
            <w:pPr>
              <w:pStyle w:val="Compact"/>
              <w:jc w:val="right"/>
            </w:pPr>
            <w:r>
              <w:t xml:space="preserve">0.308</w:t>
            </w:r>
          </w:p>
        </w:tc>
        <w:tc>
          <w:p>
            <w:pPr>
              <w:pStyle w:val="Compact"/>
              <w:jc w:val="right"/>
            </w:pPr>
            <w:r>
              <w:t xml:space="preserve">0.422</w:t>
            </w:r>
          </w:p>
        </w:tc>
      </w:tr>
      <w:tr>
        <w:tc>
          <w:p>
            <w:pPr>
              <w:pStyle w:val="Compact"/>
              <w:jc w:val="left"/>
            </w:pPr>
            <w:r>
              <w:t xml:space="preserve">Quantum Computing</w:t>
            </w:r>
          </w:p>
        </w:tc>
        <w:tc>
          <w:p>
            <w:pPr>
              <w:pStyle w:val="Compact"/>
              <w:jc w:val="right"/>
            </w:pPr>
            <w:r>
              <w:t xml:space="preserve">412</w:t>
            </w:r>
          </w:p>
        </w:tc>
        <w:tc>
          <w:p>
            <w:pPr>
              <w:pStyle w:val="Compact"/>
              <w:jc w:val="right"/>
            </w:pPr>
            <w:r>
              <w:t xml:space="preserve">2,519</w:t>
            </w:r>
          </w:p>
        </w:tc>
        <w:tc>
          <w:p>
            <w:pPr>
              <w:pStyle w:val="Compact"/>
              <w:jc w:val="right"/>
            </w:pPr>
            <w:r>
              <w:t xml:space="preserve">6</w:t>
            </w:r>
          </w:p>
        </w:tc>
        <w:tc>
          <w:p>
            <w:pPr>
              <w:pStyle w:val="Compact"/>
              <w:jc w:val="right"/>
            </w:pPr>
            <w:r>
              <w:t xml:space="preserve">0.511</w:t>
            </w:r>
          </w:p>
        </w:tc>
        <w:tc>
          <w:p>
            <w:pPr>
              <w:pStyle w:val="Compact"/>
              <w:jc w:val="right"/>
            </w:pPr>
            <w:r>
              <w:t xml:space="preserve">0.396</w:t>
            </w:r>
          </w:p>
        </w:tc>
        <w:tc>
          <w:p>
            <w:pPr>
              <w:pStyle w:val="Compact"/>
              <w:jc w:val="right"/>
            </w:pPr>
            <w:r>
              <w:t xml:space="preserve">0.385</w:t>
            </w:r>
          </w:p>
        </w:tc>
      </w:tr>
      <w:tr>
        <w:tc>
          <w:p>
            <w:pPr>
              <w:pStyle w:val="Compact"/>
              <w:jc w:val="left"/>
            </w:pPr>
            <w:r>
              <w:t xml:space="preserve">Climate Change Adaptation</w:t>
            </w:r>
          </w:p>
        </w:tc>
        <w:tc>
          <w:p>
            <w:pPr>
              <w:pStyle w:val="Compact"/>
              <w:jc w:val="right"/>
            </w:pPr>
            <w:r>
              <w:t xml:space="preserve">1,019</w:t>
            </w:r>
          </w:p>
        </w:tc>
        <w:tc>
          <w:p>
            <w:pPr>
              <w:pStyle w:val="Compact"/>
              <w:jc w:val="right"/>
            </w:pPr>
            <w:r>
              <w:t xml:space="preserve">1,181</w:t>
            </w:r>
          </w:p>
        </w:tc>
        <w:tc>
          <w:p>
            <w:pPr>
              <w:pStyle w:val="Compact"/>
              <w:jc w:val="right"/>
            </w:pPr>
            <w:r>
              <w:t xml:space="preserve">6</w:t>
            </w:r>
          </w:p>
        </w:tc>
        <w:tc>
          <w:p>
            <w:pPr>
              <w:pStyle w:val="Compact"/>
              <w:jc w:val="right"/>
            </w:pPr>
            <w:r>
              <w:t xml:space="preserve">0.502</w:t>
            </w:r>
          </w:p>
        </w:tc>
        <w:tc>
          <w:p>
            <w:pPr>
              <w:pStyle w:val="Compact"/>
              <w:jc w:val="right"/>
            </w:pPr>
            <w:r>
              <w:t xml:space="preserve">0.555</w:t>
            </w:r>
          </w:p>
        </w:tc>
        <w:tc>
          <w:p>
            <w:pPr>
              <w:pStyle w:val="Compact"/>
              <w:jc w:val="right"/>
            </w:pPr>
            <w:r>
              <w:t xml:space="preserve">0.202</w:t>
            </w:r>
          </w:p>
        </w:tc>
      </w:tr>
      <w:tr>
        <w:tc>
          <w:p>
            <w:pPr>
              <w:pStyle w:val="Compact"/>
              <w:jc w:val="left"/>
            </w:pPr>
            <w:r>
              <w:t xml:space="preserve">Deep Learning (medical applications)</w:t>
            </w:r>
          </w:p>
        </w:tc>
        <w:tc>
          <w:p>
            <w:pPr>
              <w:pStyle w:val="Compact"/>
              <w:jc w:val="right"/>
            </w:pPr>
            <w:r>
              <w:t xml:space="preserve">702</w:t>
            </w:r>
          </w:p>
        </w:tc>
        <w:tc>
          <w:p>
            <w:pPr>
              <w:pStyle w:val="Compact"/>
              <w:jc w:val="right"/>
            </w:pPr>
            <w:r>
              <w:t xml:space="preserve">823</w:t>
            </w:r>
          </w:p>
        </w:tc>
        <w:tc>
          <w:p>
            <w:pPr>
              <w:pStyle w:val="Compact"/>
              <w:jc w:val="right"/>
            </w:pPr>
            <w:r>
              <w:t xml:space="preserve">6</w:t>
            </w:r>
          </w:p>
        </w:tc>
        <w:tc>
          <w:p>
            <w:pPr>
              <w:pStyle w:val="Compact"/>
              <w:jc w:val="right"/>
            </w:pPr>
            <w:r>
              <w:t xml:space="preserve">0.519</w:t>
            </w:r>
          </w:p>
        </w:tc>
        <w:tc>
          <w:p>
            <w:pPr>
              <w:pStyle w:val="Compact"/>
              <w:jc w:val="right"/>
            </w:pPr>
            <w:r>
              <w:t xml:space="preserve">0.708</w:t>
            </w:r>
          </w:p>
        </w:tc>
        <w:tc>
          <w:p>
            <w:pPr>
              <w:pStyle w:val="Compact"/>
              <w:jc w:val="right"/>
            </w:pPr>
            <w:r>
              <w:t xml:space="preserve">0.098</w:t>
            </w:r>
          </w:p>
        </w:tc>
      </w:tr>
      <w:tr>
        <w:tc>
          <w:p>
            <w:pPr>
              <w:pStyle w:val="Compact"/>
              <w:jc w:val="left"/>
            </w:pPr>
            <w:r>
              <w:t xml:space="preserve">RVRP (anchor, validation)</w:t>
            </w:r>
          </w:p>
        </w:tc>
        <w:tc>
          <w:p>
            <w:pPr>
              <w:pStyle w:val="Compact"/>
              <w:jc w:val="right"/>
            </w:pPr>
            <w:r>
              <w:t xml:space="preserve">393</w:t>
            </w:r>
          </w:p>
        </w:tc>
        <w:tc>
          <w:p>
            <w:pPr>
              <w:pStyle w:val="Compact"/>
              <w:jc w:val="right"/>
            </w:pPr>
            <w:r>
              <w:t xml:space="preserve">1,630</w:t>
            </w:r>
          </w:p>
        </w:tc>
        <w:tc>
          <w:p>
            <w:pPr>
              <w:pStyle w:val="Compact"/>
              <w:jc w:val="right"/>
            </w:pPr>
            <w:r>
              <w:t xml:space="preserve">6</w:t>
            </w:r>
          </w:p>
        </w:tc>
        <w:tc>
          <w:p>
            <w:pPr>
              <w:pStyle w:val="Compact"/>
              <w:jc w:val="right"/>
            </w:pPr>
            <w:r>
              <w:t xml:space="preserve">0.526</w:t>
            </w:r>
          </w:p>
        </w:tc>
        <w:tc>
          <w:p>
            <w:pPr>
              <w:pStyle w:val="Compact"/>
              <w:jc w:val="right"/>
            </w:pPr>
            <w:r>
              <w:t xml:space="preserve">0.613</w:t>
            </w:r>
          </w:p>
        </w:tc>
        <w:tc>
          <w:p>
            <w:pPr>
              <w:pStyle w:val="Compact"/>
              <w:jc w:val="right"/>
            </w:pPr>
            <w:r>
              <w:t xml:space="preserve">0.216</w:t>
            </w:r>
          </w:p>
        </w:tc>
      </w:tr>
      <w:tr>
        <w:tc>
          <w:p>
            <w:pPr>
              <w:pStyle w:val="Compact"/>
              <w:jc w:val="left"/>
            </w:pPr>
            <w:r>
              <w:t xml:space="preserve">COVID-19 Vaccine Hesitancy</w:t>
            </w:r>
          </w:p>
        </w:tc>
        <w:tc>
          <w:p>
            <w:pPr>
              <w:pStyle w:val="Compact"/>
              <w:jc w:val="right"/>
            </w:pPr>
            <w:r>
              <w:t xml:space="preserve">1,809</w:t>
            </w:r>
          </w:p>
        </w:tc>
        <w:tc>
          <w:p>
            <w:pPr>
              <w:pStyle w:val="Compact"/>
              <w:jc w:val="right"/>
            </w:pPr>
            <w:r>
              <w:t xml:space="preserve">2,389</w:t>
            </w:r>
          </w:p>
        </w:tc>
        <w:tc>
          <w:p>
            <w:pPr>
              <w:pStyle w:val="Compact"/>
              <w:jc w:val="right"/>
            </w:pPr>
            <w:r>
              <w:t xml:space="preserve">7</w:t>
            </w:r>
          </w:p>
        </w:tc>
        <w:tc>
          <w:p>
            <w:pPr>
              <w:pStyle w:val="Compact"/>
              <w:jc w:val="right"/>
            </w:pPr>
            <w:r>
              <w:t xml:space="preserve">0.550</w:t>
            </w:r>
          </w:p>
        </w:tc>
        <w:tc>
          <w:p>
            <w:pPr>
              <w:pStyle w:val="Compact"/>
              <w:jc w:val="right"/>
            </w:pPr>
            <w:r>
              <w:t xml:space="preserve">0.232</w:t>
            </w:r>
          </w:p>
        </w:tc>
        <w:tc>
          <w:p>
            <w:pPr>
              <w:pStyle w:val="Compact"/>
              <w:jc w:val="right"/>
            </w:pPr>
            <w:r>
              <w:t xml:space="preserve">0.543</w:t>
            </w:r>
          </w:p>
        </w:tc>
      </w:tr>
      <w:tr>
        <w:tc>
          <w:p>
            <w:pPr>
              <w:pStyle w:val="Compact"/>
              <w:jc w:val="left"/>
            </w:pPr>
            <w:r>
              <w:t xml:space="preserve">Blockchain in Finance &amp; Supply Chain</w:t>
            </w:r>
          </w:p>
        </w:tc>
        <w:tc>
          <w:p>
            <w:pPr>
              <w:pStyle w:val="Compact"/>
              <w:jc w:val="right"/>
            </w:pPr>
            <w:r>
              <w:t xml:space="preserve">318</w:t>
            </w:r>
          </w:p>
        </w:tc>
        <w:tc>
          <w:p>
            <w:pPr>
              <w:pStyle w:val="Compact"/>
              <w:jc w:val="right"/>
            </w:pPr>
            <w:r>
              <w:t xml:space="preserve">1,499</w:t>
            </w:r>
          </w:p>
        </w:tc>
        <w:tc>
          <w:p>
            <w:pPr>
              <w:pStyle w:val="Compact"/>
              <w:jc w:val="right"/>
            </w:pPr>
            <w:r>
              <w:t xml:space="preserve">7</w:t>
            </w:r>
          </w:p>
        </w:tc>
        <w:tc>
          <w:p>
            <w:pPr>
              <w:pStyle w:val="Compact"/>
              <w:jc w:val="right"/>
            </w:pPr>
            <w:r>
              <w:t xml:space="preserve">0.568</w:t>
            </w:r>
          </w:p>
        </w:tc>
        <w:tc>
          <w:p>
            <w:pPr>
              <w:pStyle w:val="Compact"/>
              <w:jc w:val="right"/>
            </w:pPr>
            <w:r>
              <w:t xml:space="preserve">0.549</w:t>
            </w:r>
          </w:p>
        </w:tc>
        <w:tc>
          <w:p>
            <w:pPr>
              <w:pStyle w:val="Compact"/>
              <w:jc w:val="right"/>
            </w:pPr>
            <w:r>
              <w:t xml:space="preserve">0.281</w:t>
            </w:r>
          </w:p>
        </w:tc>
      </w:tr>
      <w:tr>
        <w:tc>
          <w:p>
            <w:pPr>
              <w:pStyle w:val="Compact"/>
              <w:jc w:val="left"/>
            </w:pPr>
            <w:r>
              <w:t xml:space="preserve">Financial Literacy</w:t>
            </w:r>
          </w:p>
        </w:tc>
        <w:tc>
          <w:p>
            <w:pPr>
              <w:pStyle w:val="Compact"/>
              <w:jc w:val="right"/>
            </w:pPr>
            <w:r>
              <w:t xml:space="preserve">310</w:t>
            </w:r>
          </w:p>
        </w:tc>
        <w:tc>
          <w:p>
            <w:pPr>
              <w:pStyle w:val="Compact"/>
              <w:jc w:val="right"/>
            </w:pPr>
            <w:r>
              <w:t xml:space="preserve">1,962</w:t>
            </w:r>
          </w:p>
        </w:tc>
        <w:tc>
          <w:p>
            <w:pPr>
              <w:pStyle w:val="Compact"/>
              <w:jc w:val="right"/>
            </w:pPr>
            <w:r>
              <w:t xml:space="preserve">7</w:t>
            </w:r>
          </w:p>
        </w:tc>
        <w:tc>
          <w:p>
            <w:pPr>
              <w:pStyle w:val="Compact"/>
              <w:jc w:val="right"/>
            </w:pPr>
            <w:r>
              <w:t xml:space="preserve">0.569</w:t>
            </w:r>
          </w:p>
        </w:tc>
        <w:tc>
          <w:p>
            <w:pPr>
              <w:pStyle w:val="Compact"/>
              <w:jc w:val="right"/>
            </w:pPr>
            <w:r>
              <w:t xml:space="preserve">0.451</w:t>
            </w:r>
          </w:p>
        </w:tc>
        <w:tc>
          <w:p>
            <w:pPr>
              <w:pStyle w:val="Compact"/>
              <w:jc w:val="right"/>
            </w:pPr>
            <w:r>
              <w:t xml:space="preserve">0.380</w:t>
            </w:r>
          </w:p>
        </w:tc>
      </w:tr>
      <w:tr>
        <w:tc>
          <w:p>
            <w:pPr>
              <w:pStyle w:val="Compact"/>
              <w:jc w:val="left"/>
            </w:pPr>
            <w:r>
              <w:t xml:space="preserve">Adolescent Mental Health</w:t>
            </w:r>
          </w:p>
        </w:tc>
        <w:tc>
          <w:p>
            <w:pPr>
              <w:pStyle w:val="Compact"/>
              <w:jc w:val="right"/>
            </w:pPr>
            <w:r>
              <w:t xml:space="preserve">1,319</w:t>
            </w:r>
          </w:p>
        </w:tc>
        <w:tc>
          <w:p>
            <w:pPr>
              <w:pStyle w:val="Compact"/>
              <w:jc w:val="right"/>
            </w:pPr>
            <w:r>
              <w:t xml:space="preserve">1,376</w:t>
            </w:r>
          </w:p>
        </w:tc>
        <w:tc>
          <w:p>
            <w:pPr>
              <w:pStyle w:val="Compact"/>
              <w:jc w:val="right"/>
            </w:pPr>
            <w:r>
              <w:t xml:space="preserve">7</w:t>
            </w:r>
          </w:p>
        </w:tc>
        <w:tc>
          <w:p>
            <w:pPr>
              <w:pStyle w:val="Compact"/>
              <w:jc w:val="right"/>
            </w:pPr>
            <w:r>
              <w:t xml:space="preserve">0.544</w:t>
            </w:r>
          </w:p>
        </w:tc>
        <w:tc>
          <w:p>
            <w:pPr>
              <w:pStyle w:val="Compact"/>
              <w:jc w:val="right"/>
            </w:pPr>
            <w:r>
              <w:t xml:space="preserve">0.457</w:t>
            </w:r>
          </w:p>
        </w:tc>
        <w:tc>
          <w:p>
            <w:pPr>
              <w:pStyle w:val="Compact"/>
              <w:jc w:val="right"/>
            </w:pPr>
            <w:r>
              <w:t xml:space="preserve">0.300</w:t>
            </w:r>
          </w:p>
        </w:tc>
      </w:tr>
      <w:tr>
        <w:tc>
          <w:p>
            <w:pPr>
              <w:pStyle w:val="Compact"/>
              <w:jc w:val="left"/>
            </w:pPr>
            <w:r>
              <w:t xml:space="preserve">Antimicrobial Resistance</w:t>
            </w:r>
          </w:p>
        </w:tc>
        <w:tc>
          <w:p>
            <w:pPr>
              <w:pStyle w:val="Compact"/>
              <w:jc w:val="right"/>
            </w:pPr>
            <w:r>
              <w:t xml:space="preserve">1,359</w:t>
            </w:r>
          </w:p>
        </w:tc>
        <w:tc>
          <w:p>
            <w:pPr>
              <w:pStyle w:val="Compact"/>
              <w:jc w:val="right"/>
            </w:pPr>
            <w:r>
              <w:t xml:space="preserve">1,448</w:t>
            </w:r>
          </w:p>
        </w:tc>
        <w:tc>
          <w:p>
            <w:pPr>
              <w:pStyle w:val="Compact"/>
              <w:jc w:val="right"/>
            </w:pPr>
            <w:r>
              <w:t xml:space="preserve">7</w:t>
            </w:r>
          </w:p>
        </w:tc>
        <w:tc>
          <w:p>
            <w:pPr>
              <w:pStyle w:val="Compact"/>
              <w:jc w:val="right"/>
            </w:pPr>
            <w:r>
              <w:t xml:space="preserve">0.576</w:t>
            </w:r>
          </w:p>
        </w:tc>
        <w:tc>
          <w:p>
            <w:pPr>
              <w:pStyle w:val="Compact"/>
              <w:jc w:val="right"/>
            </w:pPr>
            <w:r>
              <w:t xml:space="preserve">0.533</w:t>
            </w:r>
          </w:p>
        </w:tc>
        <w:tc>
          <w:p>
            <w:pPr>
              <w:pStyle w:val="Compact"/>
              <w:jc w:val="right"/>
            </w:pPr>
            <w:r>
              <w:t xml:space="preserve">0.318</w:t>
            </w:r>
          </w:p>
        </w:tc>
      </w:tr>
      <w:tr>
        <w:tc>
          <w:p>
            <w:pPr>
              <w:pStyle w:val="Compact"/>
              <w:jc w:val="left"/>
            </w:pPr>
            <w:r>
              <w:t xml:space="preserve">Online / Virtual Education</w:t>
            </w:r>
          </w:p>
        </w:tc>
        <w:tc>
          <w:p>
            <w:pPr>
              <w:pStyle w:val="Compact"/>
              <w:jc w:val="right"/>
            </w:pPr>
            <w:r>
              <w:t xml:space="preserve">1,122</w:t>
            </w:r>
          </w:p>
        </w:tc>
        <w:tc>
          <w:p>
            <w:pPr>
              <w:pStyle w:val="Compact"/>
              <w:jc w:val="right"/>
            </w:pPr>
            <w:r>
              <w:t xml:space="preserve">1,065</w:t>
            </w:r>
          </w:p>
        </w:tc>
        <w:tc>
          <w:p>
            <w:pPr>
              <w:pStyle w:val="Compact"/>
              <w:jc w:val="right"/>
            </w:pPr>
            <w:r>
              <w:t xml:space="preserve">8</w:t>
            </w:r>
          </w:p>
        </w:tc>
        <w:tc>
          <w:p>
            <w:pPr>
              <w:pStyle w:val="Compact"/>
              <w:jc w:val="right"/>
            </w:pPr>
            <w:r>
              <w:t xml:space="preserve">0.594</w:t>
            </w:r>
          </w:p>
        </w:tc>
        <w:tc>
          <w:p>
            <w:pPr>
              <w:pStyle w:val="Compact"/>
              <w:jc w:val="right"/>
            </w:pPr>
            <w:r>
              <w:t xml:space="preserve">0.511</w:t>
            </w:r>
          </w:p>
        </w:tc>
        <w:tc>
          <w:p>
            <w:pPr>
              <w:pStyle w:val="Compact"/>
              <w:jc w:val="right"/>
            </w:pPr>
            <w:r>
              <w:t xml:space="preserve">0.272</w:t>
            </w:r>
          </w:p>
        </w:tc>
      </w:tr>
      <w:tr>
        <w:tc>
          <w:p>
            <w:pPr>
              <w:pStyle w:val="Compact"/>
              <w:jc w:val="left"/>
            </w:pPr>
            <w:r>
              <w:t xml:space="preserve">Precision Agriculture</w:t>
            </w:r>
          </w:p>
        </w:tc>
        <w:tc>
          <w:p>
            <w:pPr>
              <w:pStyle w:val="Compact"/>
              <w:jc w:val="right"/>
            </w:pPr>
            <w:r>
              <w:t xml:space="preserve">451</w:t>
            </w:r>
          </w:p>
        </w:tc>
        <w:tc>
          <w:p>
            <w:pPr>
              <w:pStyle w:val="Compact"/>
              <w:jc w:val="right"/>
            </w:pPr>
            <w:r>
              <w:t xml:space="preserve">3,201</w:t>
            </w:r>
          </w:p>
        </w:tc>
        <w:tc>
          <w:p>
            <w:pPr>
              <w:pStyle w:val="Compact"/>
              <w:jc w:val="right"/>
            </w:pPr>
            <w:r>
              <w:t xml:space="preserve">9</w:t>
            </w:r>
          </w:p>
        </w:tc>
        <w:tc>
          <w:p>
            <w:pPr>
              <w:pStyle w:val="Compact"/>
              <w:jc w:val="right"/>
            </w:pPr>
            <w:r>
              <w:t xml:space="preserve">0.620</w:t>
            </w:r>
          </w:p>
        </w:tc>
        <w:tc>
          <w:p>
            <w:pPr>
              <w:pStyle w:val="Compact"/>
              <w:jc w:val="right"/>
            </w:pPr>
            <w:r>
              <w:t xml:space="preserve">0.743</w:t>
            </w:r>
          </w:p>
        </w:tc>
        <w:tc>
          <w:p>
            <w:pPr>
              <w:pStyle w:val="Compact"/>
              <w:jc w:val="right"/>
            </w:pPr>
            <w:r>
              <w:t xml:space="preserve">0.115</w:t>
            </w:r>
          </w:p>
        </w:tc>
      </w:tr>
      <w:tr>
        <w:tc>
          <w:p>
            <w:pPr>
              <w:pStyle w:val="Compact"/>
              <w:jc w:val="left"/>
            </w:pPr>
            <w:r>
              <w:t xml:space="preserve">Renewable Energy</w:t>
            </w:r>
          </w:p>
        </w:tc>
        <w:tc>
          <w:p>
            <w:pPr>
              <w:pStyle w:val="Compact"/>
              <w:jc w:val="right"/>
            </w:pPr>
            <w:r>
              <w:t xml:space="preserve">886</w:t>
            </w:r>
          </w:p>
        </w:tc>
        <w:tc>
          <w:p>
            <w:pPr>
              <w:pStyle w:val="Compact"/>
              <w:jc w:val="right"/>
            </w:pPr>
            <w:r>
              <w:t xml:space="preserve">1,070</w:t>
            </w:r>
          </w:p>
        </w:tc>
        <w:tc>
          <w:p>
            <w:pPr>
              <w:pStyle w:val="Compact"/>
              <w:jc w:val="right"/>
            </w:pPr>
            <w:r>
              <w:t xml:space="preserve">10</w:t>
            </w:r>
          </w:p>
        </w:tc>
        <w:tc>
          <w:p>
            <w:pPr>
              <w:pStyle w:val="Compact"/>
              <w:jc w:val="right"/>
            </w:pPr>
            <w:r>
              <w:t xml:space="preserve">0.602</w:t>
            </w:r>
          </w:p>
        </w:tc>
        <w:tc>
          <w:p>
            <w:pPr>
              <w:pStyle w:val="Compact"/>
              <w:jc w:val="right"/>
            </w:pPr>
            <w:r>
              <w:t xml:space="preserve">0.606</w:t>
            </w:r>
          </w:p>
        </w:tc>
        <w:tc>
          <w:p>
            <w:pPr>
              <w:pStyle w:val="Compact"/>
              <w:jc w:val="right"/>
            </w:pPr>
            <w:r>
              <w:t xml:space="preserve">0.200</w:t>
            </w:r>
          </w:p>
        </w:tc>
      </w:tr>
      <w:tr>
        <w:tc>
          <w:p>
            <w:pPr>
              <w:pStyle w:val="Compact"/>
              <w:jc w:val="left"/>
            </w:pPr>
            <w:r>
              <w:t xml:space="preserve">Sustainable Urban Mobility</w:t>
            </w:r>
          </w:p>
        </w:tc>
        <w:tc>
          <w:p>
            <w:pPr>
              <w:pStyle w:val="Compact"/>
              <w:jc w:val="right"/>
            </w:pPr>
            <w:r>
              <w:t xml:space="preserve">636</w:t>
            </w:r>
          </w:p>
        </w:tc>
        <w:tc>
          <w:p>
            <w:pPr>
              <w:pStyle w:val="Compact"/>
              <w:jc w:val="right"/>
            </w:pPr>
            <w:r>
              <w:t xml:space="preserve">1,631</w:t>
            </w:r>
          </w:p>
        </w:tc>
        <w:tc>
          <w:p>
            <w:pPr>
              <w:pStyle w:val="Compact"/>
              <w:jc w:val="right"/>
            </w:pPr>
            <w:r>
              <w:t xml:space="preserve">12</w:t>
            </w:r>
          </w:p>
        </w:tc>
        <w:tc>
          <w:p>
            <w:pPr>
              <w:pStyle w:val="Compact"/>
              <w:jc w:val="right"/>
            </w:pPr>
            <w:r>
              <w:t xml:space="preserve">0.640</w:t>
            </w:r>
          </w:p>
        </w:tc>
        <w:tc>
          <w:p>
            <w:pPr>
              <w:pStyle w:val="Compact"/>
              <w:jc w:val="right"/>
            </w:pPr>
            <w:r>
              <w:t xml:space="preserve">0.865</w:t>
            </w:r>
          </w:p>
        </w:tc>
        <w:tc>
          <w:p>
            <w:pPr>
              <w:pStyle w:val="Compact"/>
              <w:jc w:val="right"/>
            </w:pPr>
            <w:r>
              <w:t xml:space="preserve">0.056</w:t>
            </w:r>
          </w:p>
        </w:tc>
      </w:tr>
    </w:tbl>
    <w:p>
      <w:pPr>
        <w:pStyle w:val="CaptionedFigure"/>
      </w:pPr>
      <w:r>
        <w:drawing>
          <wp:inline>
            <wp:extent cx="5334000" cy="4441062"/>
            <wp:effectExtent b="0" l="0" r="0" t="0"/>
            <wp:docPr descr="Comparative ranking of IFP across all 20 fields."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ImageCaption"/>
      </w:pP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CaptionedFigure"/>
      </w:pPr>
      <w:r>
        <w:drawing>
          <wp:inline>
            <wp:extent cx="5334000" cy="2513391"/>
            <wp:effectExtent b="0" l="0" r="0" t="0"/>
            <wp:docPr descr="Robustness check: IFP plotted against the number of source articles (left) and the number of nodes in the pruned network (right), across all 20 fields. Dashed lines show ordinary least-squares fits; neither correlation is statistically significant at α = 0.05."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ImageCaption"/>
      </w:pP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[REPOSITORY URL TO BE ADDED].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4" Target="media/rId3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2026-07-25T19:14:34Z</dcterms:created>
  <dcterms:modified xsi:type="dcterms:W3CDTF">2026-07-25T19:14:34Z</dcterms:modified>
</cp:coreProperties>
</file>

<file path=docProps/custom.xml><?xml version="1.0" encoding="utf-8"?>
<Properties xmlns="http://schemas.openxmlformats.org/officeDocument/2006/custom-properties" xmlns:vt="http://schemas.openxmlformats.org/officeDocument/2006/docPropsVTypes"/>
</file>