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4.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t xml:space="preserve">Daniel Aristizábal Torres¹* &amp; Ana María Barrera Rodríguez²</w:t>
      </w:r>
    </w:p>
    <w:p>
      <w:pPr>
        <w:pStyle w:val="BodyText"/>
      </w:pPr>
      <w:r>
        <w:t xml:space="preserve">¹ Faculty of Engineering, Universidad Libre Seccional Pereira, Pereira, Colombia</w:t>
      </w:r>
    </w:p>
    <w:p>
      <w:pPr>
        <w:pStyle w:val="BodyText"/>
      </w:pPr>
      <w:r>
        <w:t xml:space="preserve">² Facultad de Ciencias Económicas, Administrativas y Contables, Universidad Libre Seccional Pereira, Pereira, Colombia</w:t>
      </w:r>
    </w:p>
    <w:p>
      <w:pPr>
        <w:pStyle w:val="BodyText"/>
      </w:pPr>
      <w:r>
        <w:t xml:space="preserve">* Corresponding author: daniel.aristizabalt@unilibre.edu.co</w:t>
      </w:r>
    </w:p>
    <w:p>
      <w:r>
        <w:pict>
          <v:rect style="width:0;height:1.5pt" o:hralign="center" o:hrstd="t" o:hr="t"/>
        </w:pict>
      </w:r>
    </w:p>
    <w:bookmarkStart w:id="20" w:name="abstract"/>
    <w:p>
      <w:pPr>
        <w:pStyle w:val="Heading2"/>
      </w:pPr>
      <w:r>
        <w:t xml:space="preserve">Abstract</w:t>
      </w:r>
    </w:p>
    <w:p>
      <w:pPr>
        <w:pStyle w:val="FirstParagraph"/>
      </w:pPr>
      <w:r>
        <w:t xml:space="preserve">Co-citation analysis has long been used to map the</w:t>
      </w:r>
      <w:r>
        <w:t xml:space="preserve"> </w:t>
      </w:r>
      <w:r>
        <w:t xml:space="preserve">“</w:t>
      </w:r>
      <w:r>
        <w:t xml:space="preserve">intellectual structure</w:t>
      </w:r>
      <w:r>
        <w:t xml:space="preserve">”</w:t>
      </w:r>
      <w:r>
        <w:t xml:space="preserve"> </w:t>
      </w:r>
      <w:r>
        <w:t xml:space="preserve">of a research field — the distinct schools of thought, or</w:t>
      </w:r>
      <w:r>
        <w:t xml:space="preserve"> </w:t>
      </w:r>
      <w:r>
        <w:rPr>
          <w:iCs/>
          <w:i/>
        </w:rPr>
        <w:t xml:space="preserve">perspectives</w:t>
      </w:r>
      <w:r>
        <w:t xml:space="preserve">, that a body of literature organizes itself into. Traditionally this mapping is done by hand for a single field at a time, which makes it labor-intensive, difficult to reproduce, and — critically — impossible to compare across fields, since no two manual studies use the same corpus size, clustering parameters, or naming conventions. We present an automated, end-to-end pipeline that standardizes this process: a Web of Science title-field search is converted into a co-citation network, pruned to a fixed target size regardless of raw corpus volume, partitioned into communities with the Louvain algorithm, ranked internally with PageRank, and automatically labeled using a large language model grounded in resolved reference titles. From these components we derive the</w:t>
      </w:r>
      <w:r>
        <w:t xml:space="preserve"> </w:t>
      </w:r>
      <w:r>
        <w:rPr>
          <w:bCs/>
          <w:b/>
        </w:rPr>
        <w:t xml:space="preserve">Index of Perspective Fragmentation (IFP)</w:t>
      </w:r>
      <w:r>
        <w:t xml:space="preserve">, a composite measure combining network modularity, the proportion of inter-cluster citations, and the number of significant perspectives. We validate the pipeline against a manually constructed co-citation map of the Refrigerated Vehicle Routing Problem (RVRP) literature published in</w:t>
      </w:r>
      <w:r>
        <w:t xml:space="preserve"> </w:t>
      </w:r>
      <w:r>
        <w:rPr>
          <w:iCs/>
          <w:i/>
        </w:rPr>
        <w:t xml:space="preserve">Frontiers in Research Metrics and Analytics</w:t>
      </w:r>
      <w:r>
        <w:t xml:space="preserve"> </w:t>
      </w:r>
      <w:r>
        <w:t xml:space="preserve">(Aristizábal Torres et al., 2026), then apply it comparatively to 20 research fields spanning the natural sciences, social sciences, health, technology, and environmental science. IFP ranges from 0.328 (Supply Chain Resilience) to 0.640 (Sustainable Urban Mobility) and shows no significant correlation with corpus size (r = -0.220, p = 0.352 for article count; r = -0.128, p = 0.589 for network size), indicating that the index captures genuine structural properties of a field rather than an artifact of sample volume. We further document a recurring source of measurement bias — narrow, single-facet search queries that spuriously split a single coherent perspective into near-duplicate clusters — and the safeguards we developed against it. The pipeline, code, and full dataset are made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Citation networks were first shown to reveal this kind of structure by de Solla Price (1965) and Garfield (1972), and mapping it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and the term-based alternative of co-word analysis (Callon et al., 1991). Boyack and Klavans (2010) compared these citation-based approaches directly and found co-citation analysis to most accurately represent a field’s research front, which motivates our choice of it as the present pipeline’s underlying network structure.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 from its origins in Girvan and Newman (2002) through the modularity-optimization framework of Newman (2006), and surveyed comprehensively by Fortunato (2010) — has become the standard tool for partitioning co-citation and bibliographic-coupling networks into thematic clusters, with the Louvain algorithm (Blondel et al., 2008) as its most widely used implementation. A known but under-discussed property of Louvain is its sensitivity to node insertion order in unweighted or naively reconstructed graphs; the successor Leiden algorithm (Traag et al., 2019) was developed specifically to guarantee well-connected communities where Louvain can fail. We document a concrete instance of the node-order problem and a lower-cost fix that preserves determinism without changing algorithms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Waltman et al., 2010), and bibliometrix (Aria &amp; Cuccurullo, 2017) have made single-field science mapping widely accessible — see Cobo et al. (2011) for a comparative review of these and other tools — and overlay-mapping approaches (Leydesdorff &amp; Rafols, 2009;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building on Stirling’s (2007) general framework for analysing diversity and its application to citation patterns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Evidence from the adjacent task of systematic-review screening is mixed: large language models can approach human-level accuracy on some literature-classification tasks but remain unreliable enough that human oversight is still recommended (Khraisha et al., 2024). Consistent with that evidence, we contribute a concrete, reproducible protocol — resolving top-PageRank references to real titles via the OpenAlex API (Priem et al., 2022), then prompting a language model for a short name and description — together with the human quality-assurance checks needed to catch a specific failure mode: near-duplicate cluster names produced when a single coherent perspective is spuriously split (Section 3.7).</w:t>
      </w:r>
    </w:p>
    <w:p>
      <w:pPr>
        <w:pStyle w:val="BodyText"/>
      </w:pPr>
      <w:r>
        <w:rPr>
          <w:bCs/>
          <w:b/>
        </w:rPr>
        <w:t xml:space="preserve">General bibliometric methodology.</w:t>
      </w:r>
      <w:r>
        <w:t xml:space="preserve"> </w:t>
      </w:r>
      <w:r>
        <w:t xml:space="preserve">Beyond citation-network-specific methods, broader guidelines for conducting rigorous bibliometric analyses (Zupic &amp; Čater, 2015; Donthu et al., 2021) emphasize transparent, reproducible protocols over ad hoc application of software tools — a standard the fully scripted, versioned pipeline presented here is designed to meet.</w:t>
      </w:r>
    </w:p>
    <w:p>
      <w:r>
        <w:pict>
          <v:rect style="width:0;height:1.5pt" o:hralign="center" o:hrstd="t" o:hr="t"/>
        </w:pict>
      </w:r>
    </w:p>
    <w:bookmarkEnd w:id="22"/>
    <w:bookmarkStart w:id="33" w:name="methods"/>
    <w:p>
      <w:pPr>
        <w:pStyle w:val="Heading2"/>
      </w:pPr>
      <w:r>
        <w:t xml:space="preserve">3. Methods</w:t>
      </w:r>
    </w:p>
    <w:p>
      <w:pPr>
        <w:pStyle w:val="CaptionedFigure"/>
      </w:pPr>
      <w:r>
        <w:drawing>
          <wp:inline>
            <wp:extent cx="5334000" cy="1215364"/>
            <wp:effectExtent b="0" l="0" r="0" t="0"/>
            <wp:docPr descr="Methodological pipeline: from Web of Science title search to the Index of Perspective Fragmentation (six stages)."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ImageCaption"/>
      </w:pP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the Web of Science Core Collection — chosen over alternatives such as Scopus for its curated indexing and long-established role in bibliometric research, notwithstanding known differences in journal coverage between databases (Mongeon &amp; Paul-Hus, 2016) —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w:t>
      </w:r>
    </w:p>
    <w:p>
      <w:pPr>
        <w:pStyle w:val="CaptionedFigure"/>
      </w:pPr>
      <w:r>
        <w:drawing>
          <wp:inline>
            <wp:extent cx="5334000" cy="3593084"/>
            <wp:effectExtent b="0" l="0" r="0" t="0"/>
            <wp:docPr descr="Co-citation network of the RVRP anchor field. Node color denotes Louvain community; node size denotes PageRank centrality; only the top-45 most central nodes per cluster and intra-cluster edges are shown for legibility." title="" id="1" name="Picture"/>
            <a:graphic>
              <a:graphicData uri="http://schemas.openxmlformats.org/drawingml/2006/picture">
                <pic:pic>
                  <pic:nvPicPr>
                    <pic:cNvPr descr="../figuras/red_rvrp.png" id="0" name="Picture"/>
                    <pic:cNvPicPr>
                      <a:picLocks noChangeArrowheads="1" noChangeAspect="1"/>
                    </pic:cNvPicPr>
                  </pic:nvPicPr>
                  <pic:blipFill>
                    <a:blip r:embed="rId34"/>
                    <a:stretch>
                      <a:fillRect/>
                    </a:stretch>
                  </pic:blipFill>
                  <pic:spPr bwMode="auto">
                    <a:xfrm>
                      <a:off x="0" y="0"/>
                      <a:ext cx="5334000" cy="3593084"/>
                    </a:xfrm>
                    <a:prstGeom prst="rect">
                      <a:avLst/>
                    </a:prstGeom>
                    <a:noFill/>
                    <a:ln w="9525">
                      <a:noFill/>
                      <a:headEnd/>
                      <a:tailEnd/>
                    </a:ln>
                  </pic:spPr>
                </pic:pic>
              </a:graphicData>
            </a:graphic>
          </wp:inline>
        </w:drawing>
      </w:r>
    </w:p>
    <w:p>
      <w:pPr>
        <w:pStyle w:val="ImageCaption"/>
      </w:pPr>
      <w:r>
        <w:t xml:space="preserve">Co-citation network of the RVRP anchor field. Node color denotes Louvain community; node size denotes PageRank centrality; only the top-45 most central nodes per cluster and intra-cluster edges are shown for legibility.</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w:t>
      </w:r>
    </w:p>
    <w:p>
      <w:pPr>
        <w:pStyle w:val="CaptionedFigure"/>
      </w:pPr>
      <w:r>
        <w:drawing>
          <wp:inline>
            <wp:extent cx="5334000" cy="3565708"/>
            <wp:effectExtent b="0" l="0" r="0" t="0"/>
            <wp:docPr descr="Co-citation network of the RVRP literature under the controlled replication (identical 469-article corpus to the anchor study, Topic search)."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5"/>
                    <a:stretch>
                      <a:fillRect/>
                    </a:stretch>
                  </pic:blipFill>
                  <pic:spPr bwMode="auto">
                    <a:xfrm>
                      <a:off x="0" y="0"/>
                      <a:ext cx="5334000" cy="3565708"/>
                    </a:xfrm>
                    <a:prstGeom prst="rect">
                      <a:avLst/>
                    </a:prstGeom>
                    <a:noFill/>
                    <a:ln w="9525">
                      <a:noFill/>
                      <a:headEnd/>
                      <a:tailEnd/>
                    </a:ln>
                  </pic:spPr>
                </pic:pic>
              </a:graphicData>
            </a:graphic>
          </wp:inline>
        </w:drawing>
      </w:r>
    </w:p>
    <w:p>
      <w:pPr>
        <w:pStyle w:val="ImageCaption"/>
      </w:pPr>
      <w:r>
        <w:t xml:space="preserve">Co-citation network of the RVRP literature under the controlled replication (identical 469-article corpus to the anchor study, Topic search).</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2146"/>
        <w:gridCol w:w="868"/>
        <w:gridCol w:w="919"/>
        <w:gridCol w:w="1021"/>
        <w:gridCol w:w="766"/>
        <w:gridCol w:w="970"/>
        <w:gridCol w:w="1226"/>
      </w:tblGrid>
      <w:tr>
        <w:tc>
          <w:p>
            <w:pPr>
              <w:pStyle w:val="Compact"/>
              <w:jc w:val="left"/>
            </w:pPr>
            <w:r>
              <w:t xml:space="preserve">Field</w:t>
            </w:r>
          </w:p>
        </w:tc>
        <w:tc>
          <w:p>
            <w:pPr>
              <w:pStyle w:val="Compact"/>
              <w:jc w:val="left"/>
            </w:pPr>
            <w:r>
              <w:t xml:space="preserve">Articles (n)</w:t>
            </w:r>
          </w:p>
        </w:tc>
        <w:tc>
          <w:p>
            <w:pPr>
              <w:pStyle w:val="Compact"/>
              <w:jc w:val="left"/>
            </w:pPr>
            <w:r>
              <w:t xml:space="preserve">Network nodes</w:t>
            </w:r>
          </w:p>
        </w:tc>
        <w:tc>
          <w:p>
            <w:pPr>
              <w:pStyle w:val="Compact"/>
              <w:jc w:val="left"/>
            </w:pPr>
            <w:r>
              <w:t xml:space="preserve">Perspectives</w:t>
            </w:r>
          </w:p>
        </w:tc>
        <w:tc>
          <w:p>
            <w:pPr>
              <w:pStyle w:val="Compact"/>
              <w:jc w:val="left"/>
            </w:pPr>
            <w:r>
              <w:t xml:space="preserve">IFP</w:t>
            </w:r>
          </w:p>
        </w:tc>
        <w:tc>
          <w:p>
            <w:pPr>
              <w:pStyle w:val="Compact"/>
              <w:jc w:val="left"/>
            </w:pPr>
            <w:r>
              <w:t xml:space="preserve">Modularity (Q)</w:t>
            </w:r>
          </w:p>
        </w:tc>
        <w:tc>
          <w:p>
            <w:pPr>
              <w:pStyle w:val="Compact"/>
              <w:jc w:val="left"/>
            </w:pPr>
            <w:r>
              <w:t xml:space="preserve">Inter-cluster prop.</w:t>
            </w:r>
          </w:p>
        </w:tc>
      </w:tr>
      <w:tr>
        <w:tc>
          <w:p>
            <w:pPr>
              <w:pStyle w:val="Compact"/>
              <w:jc w:val="left"/>
            </w:pPr>
            <w:r>
              <w:t xml:space="preserve">Supply Chain Resilience</w:t>
            </w:r>
          </w:p>
        </w:tc>
        <w:tc>
          <w:p>
            <w:pPr>
              <w:pStyle w:val="SourceCode"/>
              <w:jc w:val="left"/>
            </w:pPr>
            <w:r>
              <w:rPr>
                <w:rStyle w:val="VerbatimChar"/>
              </w:rPr>
              <w:t xml:space="preserve">       534</w:t>
            </w:r>
          </w:p>
        </w:tc>
        <w:tc>
          <w:p>
            <w:pPr>
              <w:pStyle w:val="SourceCode"/>
              <w:jc w:val="left"/>
            </w:pPr>
            <w:r>
              <w:rPr>
                <w:rStyle w:val="VerbatimChar"/>
              </w:rPr>
              <w:t xml:space="preserve">      1,892</w:t>
            </w:r>
          </w:p>
        </w:tc>
        <w:tc>
          <w:p>
            <w:pPr>
              <w:pStyle w:val="SourceCode"/>
              <w:jc w:val="left"/>
            </w:pPr>
            <w:r>
              <w:rPr>
                <w:rStyle w:val="VerbatimChar"/>
              </w:rPr>
              <w:t xml:space="preserve">            3</w:t>
            </w:r>
          </w:p>
        </w:tc>
        <w:tc>
          <w:p>
            <w:pPr>
              <w:pStyle w:val="SourceCode"/>
              <w:jc w:val="left"/>
            </w:pPr>
            <w:r>
              <w:rPr>
                <w:rStyle w:val="VerbatimChar"/>
              </w:rPr>
              <w:t xml:space="preserve">   0.328</w:t>
            </w:r>
          </w:p>
        </w:tc>
        <w:tc>
          <w:p>
            <w:pPr>
              <w:pStyle w:val="SourceCode"/>
              <w:jc w:val="left"/>
            </w:pPr>
            <w:r>
              <w:rPr>
                <w:rStyle w:val="VerbatimChar"/>
              </w:rPr>
              <w:t xml:space="preserve">       0.297</w:t>
            </w:r>
          </w:p>
        </w:tc>
        <w:tc>
          <w:p>
            <w:pPr>
              <w:pStyle w:val="SourceCode"/>
              <w:jc w:val="left"/>
            </w:pPr>
            <w:r>
              <w:rPr>
                <w:rStyle w:val="VerbatimChar"/>
              </w:rPr>
              <w:t xml:space="preserve">            0.313</w:t>
            </w:r>
          </w:p>
        </w:tc>
      </w:tr>
      <w:tr>
        <w:tc>
          <w:p>
            <w:pPr>
              <w:pStyle w:val="Compact"/>
              <w:jc w:val="left"/>
            </w:pPr>
            <w:r>
              <w:t xml:space="preserve">Research Integrity</w:t>
            </w:r>
          </w:p>
        </w:tc>
        <w:tc>
          <w:p>
            <w:pPr>
              <w:pStyle w:val="SourceCode"/>
              <w:jc w:val="left"/>
            </w:pPr>
            <w:r>
              <w:rPr>
                <w:rStyle w:val="VerbatimChar"/>
              </w:rPr>
              <w:t xml:space="preserve">     1,053</w:t>
            </w:r>
          </w:p>
        </w:tc>
        <w:tc>
          <w:p>
            <w:pPr>
              <w:pStyle w:val="SourceCode"/>
              <w:jc w:val="left"/>
            </w:pPr>
            <w:r>
              <w:rPr>
                <w:rStyle w:val="VerbatimChar"/>
              </w:rPr>
              <w:t xml:space="preserve">      1,956</w:t>
            </w:r>
          </w:p>
        </w:tc>
        <w:tc>
          <w:p>
            <w:pPr>
              <w:pStyle w:val="SourceCode"/>
              <w:jc w:val="left"/>
            </w:pPr>
            <w:r>
              <w:rPr>
                <w:rStyle w:val="VerbatimChar"/>
              </w:rPr>
              <w:t xml:space="preserve">            4</w:t>
            </w:r>
          </w:p>
        </w:tc>
        <w:tc>
          <w:p>
            <w:pPr>
              <w:pStyle w:val="SourceCode"/>
              <w:jc w:val="left"/>
            </w:pPr>
            <w:r>
              <w:rPr>
                <w:rStyle w:val="VerbatimChar"/>
              </w:rPr>
              <w:t xml:space="preserve">   0.370</w:t>
            </w:r>
          </w:p>
        </w:tc>
        <w:tc>
          <w:p>
            <w:pPr>
              <w:pStyle w:val="SourceCode"/>
              <w:jc w:val="left"/>
            </w:pPr>
            <w:r>
              <w:rPr>
                <w:rStyle w:val="VerbatimChar"/>
              </w:rPr>
              <w:t xml:space="preserve">       0.536</w:t>
            </w:r>
          </w:p>
        </w:tc>
        <w:tc>
          <w:p>
            <w:pPr>
              <w:pStyle w:val="SourceCode"/>
              <w:jc w:val="left"/>
            </w:pPr>
            <w:r>
              <w:rPr>
                <w:rStyle w:val="VerbatimChar"/>
              </w:rPr>
              <w:t xml:space="preserve">            0.075</w:t>
            </w:r>
          </w:p>
        </w:tc>
      </w:tr>
      <w:tr>
        <w:tc>
          <w:p>
            <w:pPr>
              <w:pStyle w:val="Compact"/>
              <w:jc w:val="left"/>
            </w:pPr>
            <w:r>
              <w:t xml:space="preserve">Corporate Social Responsibility</w:t>
            </w:r>
          </w:p>
        </w:tc>
        <w:tc>
          <w:p>
            <w:pPr>
              <w:pStyle w:val="SourceCode"/>
              <w:jc w:val="left"/>
            </w:pPr>
            <w:r>
              <w:rPr>
                <w:rStyle w:val="VerbatimChar"/>
              </w:rPr>
              <w:t xml:space="preserve">     1,617</w:t>
            </w:r>
          </w:p>
        </w:tc>
        <w:tc>
          <w:p>
            <w:pPr>
              <w:pStyle w:val="SourceCode"/>
              <w:jc w:val="left"/>
            </w:pPr>
            <w:r>
              <w:rPr>
                <w:rStyle w:val="VerbatimChar"/>
              </w:rPr>
              <w:t xml:space="preserve">      2,075</w:t>
            </w:r>
          </w:p>
        </w:tc>
        <w:tc>
          <w:p>
            <w:pPr>
              <w:pStyle w:val="SourceCode"/>
              <w:jc w:val="left"/>
            </w:pPr>
            <w:r>
              <w:rPr>
                <w:rStyle w:val="VerbatimChar"/>
              </w:rPr>
              <w:t xml:space="preserve">            4</w:t>
            </w:r>
          </w:p>
        </w:tc>
        <w:tc>
          <w:p>
            <w:pPr>
              <w:pStyle w:val="SourceCode"/>
              <w:jc w:val="left"/>
            </w:pPr>
            <w:r>
              <w:rPr>
                <w:rStyle w:val="VerbatimChar"/>
              </w:rPr>
              <w:t xml:space="preserve">   0.372</w:t>
            </w:r>
          </w:p>
        </w:tc>
        <w:tc>
          <w:p>
            <w:pPr>
              <w:pStyle w:val="SourceCode"/>
              <w:jc w:val="left"/>
            </w:pPr>
            <w:r>
              <w:rPr>
                <w:rStyle w:val="VerbatimChar"/>
              </w:rPr>
              <w:t xml:space="preserve">       0.359</w:t>
            </w:r>
          </w:p>
        </w:tc>
        <w:tc>
          <w:p>
            <w:pPr>
              <w:pStyle w:val="SourceCode"/>
              <w:jc w:val="left"/>
            </w:pPr>
            <w:r>
              <w:rPr>
                <w:rStyle w:val="VerbatimChar"/>
              </w:rPr>
              <w:t xml:space="preserve">            0.256</w:t>
            </w:r>
          </w:p>
        </w:tc>
      </w:tr>
      <w:tr>
        <w:tc>
          <w:p>
            <w:pPr>
              <w:pStyle w:val="Compact"/>
              <w:jc w:val="left"/>
            </w:pPr>
            <w:r>
              <w:t xml:space="preserve">CRISPR Gene Editing</w:t>
            </w:r>
          </w:p>
        </w:tc>
        <w:tc>
          <w:p>
            <w:pPr>
              <w:pStyle w:val="SourceCode"/>
              <w:jc w:val="left"/>
            </w:pPr>
            <w:r>
              <w:rPr>
                <w:rStyle w:val="VerbatimChar"/>
              </w:rPr>
              <w:t xml:space="preserve">     1,592</w:t>
            </w:r>
          </w:p>
        </w:tc>
        <w:tc>
          <w:p>
            <w:pPr>
              <w:pStyle w:val="SourceCode"/>
              <w:jc w:val="left"/>
            </w:pPr>
            <w:r>
              <w:rPr>
                <w:rStyle w:val="VerbatimChar"/>
              </w:rPr>
              <w:t xml:space="preserve">      2,123</w:t>
            </w:r>
          </w:p>
        </w:tc>
        <w:tc>
          <w:p>
            <w:pPr>
              <w:pStyle w:val="SourceCode"/>
              <w:jc w:val="left"/>
            </w:pPr>
            <w:r>
              <w:rPr>
                <w:rStyle w:val="VerbatimChar"/>
              </w:rPr>
              <w:t xml:space="preserve">            4</w:t>
            </w:r>
          </w:p>
        </w:tc>
        <w:tc>
          <w:p>
            <w:pPr>
              <w:pStyle w:val="SourceCode"/>
              <w:jc w:val="left"/>
            </w:pPr>
            <w:r>
              <w:rPr>
                <w:rStyle w:val="VerbatimChar"/>
              </w:rPr>
              <w:t xml:space="preserve">   0.379</w:t>
            </w:r>
          </w:p>
        </w:tc>
        <w:tc>
          <w:p>
            <w:pPr>
              <w:pStyle w:val="SourceCode"/>
              <w:jc w:val="left"/>
            </w:pPr>
            <w:r>
              <w:rPr>
                <w:rStyle w:val="VerbatimChar"/>
              </w:rPr>
              <w:t xml:space="preserve">       0.308</w:t>
            </w:r>
          </w:p>
        </w:tc>
        <w:tc>
          <w:p>
            <w:pPr>
              <w:pStyle w:val="SourceCode"/>
              <w:jc w:val="left"/>
            </w:pPr>
            <w:r>
              <w:rPr>
                <w:rStyle w:val="VerbatimChar"/>
              </w:rPr>
              <w:t xml:space="preserve">            0.330</w:t>
            </w:r>
          </w:p>
        </w:tc>
      </w:tr>
      <w:tr>
        <w:tc>
          <w:p>
            <w:pPr>
              <w:pStyle w:val="Compact"/>
              <w:jc w:val="left"/>
            </w:pPr>
            <w:r>
              <w:t xml:space="preserve">AI Ethics</w:t>
            </w:r>
          </w:p>
        </w:tc>
        <w:tc>
          <w:p>
            <w:pPr>
              <w:pStyle w:val="SourceCode"/>
              <w:jc w:val="left"/>
            </w:pPr>
            <w:r>
              <w:rPr>
                <w:rStyle w:val="VerbatimChar"/>
              </w:rPr>
              <w:t xml:space="preserve">       398</w:t>
            </w:r>
          </w:p>
        </w:tc>
        <w:tc>
          <w:p>
            <w:pPr>
              <w:pStyle w:val="SourceCode"/>
              <w:jc w:val="left"/>
            </w:pPr>
            <w:r>
              <w:rPr>
                <w:rStyle w:val="VerbatimChar"/>
              </w:rPr>
              <w:t xml:space="preserve">      1,217</w:t>
            </w:r>
          </w:p>
        </w:tc>
        <w:tc>
          <w:p>
            <w:pPr>
              <w:pStyle w:val="SourceCode"/>
              <w:jc w:val="left"/>
            </w:pPr>
            <w:r>
              <w:rPr>
                <w:rStyle w:val="VerbatimChar"/>
              </w:rPr>
              <w:t xml:space="preserve">            5</w:t>
            </w:r>
          </w:p>
        </w:tc>
        <w:tc>
          <w:p>
            <w:pPr>
              <w:pStyle w:val="SourceCode"/>
              <w:jc w:val="left"/>
            </w:pPr>
            <w:r>
              <w:rPr>
                <w:rStyle w:val="VerbatimChar"/>
              </w:rPr>
              <w:t xml:space="preserve">   0.441</w:t>
            </w:r>
          </w:p>
        </w:tc>
        <w:tc>
          <w:p>
            <w:pPr>
              <w:pStyle w:val="SourceCode"/>
              <w:jc w:val="left"/>
            </w:pPr>
            <w:r>
              <w:rPr>
                <w:rStyle w:val="VerbatimChar"/>
              </w:rPr>
              <w:t xml:space="preserve">       0.572</w:t>
            </w:r>
          </w:p>
        </w:tc>
        <w:tc>
          <w:p>
            <w:pPr>
              <w:pStyle w:val="SourceCode"/>
              <w:jc w:val="left"/>
            </w:pPr>
            <w:r>
              <w:rPr>
                <w:rStyle w:val="VerbatimChar"/>
              </w:rPr>
              <w:t xml:space="preserve">            0.126</w:t>
            </w:r>
          </w:p>
        </w:tc>
      </w:tr>
      <w:tr>
        <w:tc>
          <w:p>
            <w:pPr>
              <w:pStyle w:val="Compact"/>
              <w:jc w:val="left"/>
            </w:pPr>
            <w:r>
              <w:t xml:space="preserve">Circular Economy</w:t>
            </w:r>
          </w:p>
        </w:tc>
        <w:tc>
          <w:p>
            <w:pPr>
              <w:pStyle w:val="SourceCode"/>
              <w:jc w:val="left"/>
            </w:pPr>
            <w:r>
              <w:rPr>
                <w:rStyle w:val="VerbatimChar"/>
              </w:rPr>
              <w:t xml:space="preserve">       890</w:t>
            </w:r>
          </w:p>
        </w:tc>
        <w:tc>
          <w:p>
            <w:pPr>
              <w:pStyle w:val="SourceCode"/>
              <w:jc w:val="left"/>
            </w:pPr>
            <w:r>
              <w:rPr>
                <w:rStyle w:val="VerbatimChar"/>
              </w:rPr>
              <w:t xml:space="preserve">      2,105</w:t>
            </w:r>
          </w:p>
        </w:tc>
        <w:tc>
          <w:p>
            <w:pPr>
              <w:pStyle w:val="SourceCode"/>
              <w:jc w:val="left"/>
            </w:pPr>
            <w:r>
              <w:rPr>
                <w:rStyle w:val="VerbatimChar"/>
              </w:rPr>
              <w:t xml:space="preserve">            5</w:t>
            </w:r>
          </w:p>
        </w:tc>
        <w:tc>
          <w:p>
            <w:pPr>
              <w:pStyle w:val="SourceCode"/>
              <w:jc w:val="left"/>
            </w:pPr>
            <w:r>
              <w:rPr>
                <w:rStyle w:val="VerbatimChar"/>
              </w:rPr>
              <w:t xml:space="preserve">   0.450</w:t>
            </w:r>
          </w:p>
        </w:tc>
        <w:tc>
          <w:p>
            <w:pPr>
              <w:pStyle w:val="SourceCode"/>
              <w:jc w:val="left"/>
            </w:pPr>
            <w:r>
              <w:rPr>
                <w:rStyle w:val="VerbatimChar"/>
              </w:rPr>
              <w:t xml:space="preserve">       0.301</w:t>
            </w:r>
          </w:p>
        </w:tc>
        <w:tc>
          <w:p>
            <w:pPr>
              <w:pStyle w:val="SourceCode"/>
              <w:jc w:val="left"/>
            </w:pPr>
            <w:r>
              <w:rPr>
                <w:rStyle w:val="VerbatimChar"/>
              </w:rPr>
              <w:t xml:space="preserve">            0.424</w:t>
            </w:r>
          </w:p>
        </w:tc>
      </w:tr>
      <w:tr>
        <w:tc>
          <w:p>
            <w:pPr>
              <w:pStyle w:val="Compact"/>
              <w:jc w:val="left"/>
            </w:pPr>
            <w:r>
              <w:t xml:space="preserve">Microplastics</w:t>
            </w:r>
          </w:p>
        </w:tc>
        <w:tc>
          <w:p>
            <w:pPr>
              <w:pStyle w:val="SourceCode"/>
              <w:jc w:val="left"/>
            </w:pPr>
            <w:r>
              <w:rPr>
                <w:rStyle w:val="VerbatimChar"/>
              </w:rPr>
              <w:t xml:space="preserve">     1,204</w:t>
            </w:r>
          </w:p>
        </w:tc>
        <w:tc>
          <w:p>
            <w:pPr>
              <w:pStyle w:val="SourceCode"/>
              <w:jc w:val="left"/>
            </w:pPr>
            <w:r>
              <w:rPr>
                <w:rStyle w:val="VerbatimChar"/>
              </w:rPr>
              <w:t xml:space="preserve">      2,077</w:t>
            </w:r>
          </w:p>
        </w:tc>
        <w:tc>
          <w:p>
            <w:pPr>
              <w:pStyle w:val="SourceCode"/>
              <w:jc w:val="left"/>
            </w:pPr>
            <w:r>
              <w:rPr>
                <w:rStyle w:val="VerbatimChar"/>
              </w:rPr>
              <w:t xml:space="preserve">            6</w:t>
            </w:r>
          </w:p>
        </w:tc>
        <w:tc>
          <w:p>
            <w:pPr>
              <w:pStyle w:val="SourceCode"/>
              <w:jc w:val="left"/>
            </w:pPr>
            <w:r>
              <w:rPr>
                <w:rStyle w:val="VerbatimChar"/>
              </w:rPr>
              <w:t xml:space="preserve">   0.494</w:t>
            </w:r>
          </w:p>
        </w:tc>
        <w:tc>
          <w:p>
            <w:pPr>
              <w:pStyle w:val="SourceCode"/>
              <w:jc w:val="left"/>
            </w:pPr>
            <w:r>
              <w:rPr>
                <w:rStyle w:val="VerbatimChar"/>
              </w:rPr>
              <w:t xml:space="preserve">       0.308</w:t>
            </w:r>
          </w:p>
        </w:tc>
        <w:tc>
          <w:p>
            <w:pPr>
              <w:pStyle w:val="SourceCode"/>
              <w:jc w:val="left"/>
            </w:pPr>
            <w:r>
              <w:rPr>
                <w:rStyle w:val="VerbatimChar"/>
              </w:rPr>
              <w:t xml:space="preserve">            0.422</w:t>
            </w:r>
          </w:p>
        </w:tc>
      </w:tr>
      <w:tr>
        <w:tc>
          <w:p>
            <w:pPr>
              <w:pStyle w:val="Compact"/>
              <w:jc w:val="left"/>
            </w:pPr>
            <w:r>
              <w:t xml:space="preserve">Climate Change Adaptation</w:t>
            </w:r>
          </w:p>
        </w:tc>
        <w:tc>
          <w:p>
            <w:pPr>
              <w:pStyle w:val="SourceCode"/>
              <w:jc w:val="left"/>
            </w:pPr>
            <w:r>
              <w:rPr>
                <w:rStyle w:val="VerbatimChar"/>
              </w:rPr>
              <w:t xml:space="preserve">     1,019</w:t>
            </w:r>
          </w:p>
        </w:tc>
        <w:tc>
          <w:p>
            <w:pPr>
              <w:pStyle w:val="SourceCode"/>
              <w:jc w:val="left"/>
            </w:pPr>
            <w:r>
              <w:rPr>
                <w:rStyle w:val="VerbatimChar"/>
              </w:rPr>
              <w:t xml:space="preserve">      1,181</w:t>
            </w:r>
          </w:p>
        </w:tc>
        <w:tc>
          <w:p>
            <w:pPr>
              <w:pStyle w:val="SourceCode"/>
              <w:jc w:val="left"/>
            </w:pPr>
            <w:r>
              <w:rPr>
                <w:rStyle w:val="VerbatimChar"/>
              </w:rPr>
              <w:t xml:space="preserve">            6</w:t>
            </w:r>
          </w:p>
        </w:tc>
        <w:tc>
          <w:p>
            <w:pPr>
              <w:pStyle w:val="SourceCode"/>
              <w:jc w:val="left"/>
            </w:pPr>
            <w:r>
              <w:rPr>
                <w:rStyle w:val="VerbatimChar"/>
              </w:rPr>
              <w:t xml:space="preserve">   0.502</w:t>
            </w:r>
          </w:p>
        </w:tc>
        <w:tc>
          <w:p>
            <w:pPr>
              <w:pStyle w:val="SourceCode"/>
              <w:jc w:val="left"/>
            </w:pPr>
            <w:r>
              <w:rPr>
                <w:rStyle w:val="VerbatimChar"/>
              </w:rPr>
              <w:t xml:space="preserve">       0.554</w:t>
            </w:r>
          </w:p>
        </w:tc>
        <w:tc>
          <w:p>
            <w:pPr>
              <w:pStyle w:val="SourceCode"/>
              <w:jc w:val="left"/>
            </w:pPr>
            <w:r>
              <w:rPr>
                <w:rStyle w:val="VerbatimChar"/>
              </w:rPr>
              <w:t xml:space="preserve">            0.202</w:t>
            </w:r>
          </w:p>
        </w:tc>
      </w:tr>
      <w:tr>
        <w:tc>
          <w:p>
            <w:pPr>
              <w:pStyle w:val="Compact"/>
              <w:jc w:val="left"/>
            </w:pPr>
            <w:r>
              <w:t xml:space="preserve">Quantum Computing</w:t>
            </w:r>
          </w:p>
        </w:tc>
        <w:tc>
          <w:p>
            <w:pPr>
              <w:pStyle w:val="SourceCode"/>
              <w:jc w:val="left"/>
            </w:pPr>
            <w:r>
              <w:rPr>
                <w:rStyle w:val="VerbatimChar"/>
              </w:rPr>
              <w:t xml:space="preserve">       412</w:t>
            </w:r>
          </w:p>
        </w:tc>
        <w:tc>
          <w:p>
            <w:pPr>
              <w:pStyle w:val="SourceCode"/>
              <w:jc w:val="left"/>
            </w:pPr>
            <w:r>
              <w:rPr>
                <w:rStyle w:val="VerbatimChar"/>
              </w:rPr>
              <w:t xml:space="preserve">      2,519</w:t>
            </w:r>
          </w:p>
        </w:tc>
        <w:tc>
          <w:p>
            <w:pPr>
              <w:pStyle w:val="SourceCode"/>
              <w:jc w:val="left"/>
            </w:pPr>
            <w:r>
              <w:rPr>
                <w:rStyle w:val="VerbatimChar"/>
              </w:rPr>
              <w:t xml:space="preserve">            6</w:t>
            </w:r>
          </w:p>
        </w:tc>
        <w:tc>
          <w:p>
            <w:pPr>
              <w:pStyle w:val="SourceCode"/>
              <w:jc w:val="left"/>
            </w:pPr>
            <w:r>
              <w:rPr>
                <w:rStyle w:val="VerbatimChar"/>
              </w:rPr>
              <w:t xml:space="preserve">   0.511</w:t>
            </w:r>
          </w:p>
        </w:tc>
        <w:tc>
          <w:p>
            <w:pPr>
              <w:pStyle w:val="SourceCode"/>
              <w:jc w:val="left"/>
            </w:pPr>
            <w:r>
              <w:rPr>
                <w:rStyle w:val="VerbatimChar"/>
              </w:rPr>
              <w:t xml:space="preserve">       0.396</w:t>
            </w:r>
          </w:p>
        </w:tc>
        <w:tc>
          <w:p>
            <w:pPr>
              <w:pStyle w:val="SourceCode"/>
              <w:jc w:val="left"/>
            </w:pPr>
            <w:r>
              <w:rPr>
                <w:rStyle w:val="VerbatimChar"/>
              </w:rPr>
              <w:t xml:space="preserve">            0.385</w:t>
            </w:r>
          </w:p>
        </w:tc>
      </w:tr>
      <w:tr>
        <w:tc>
          <w:p>
            <w:pPr>
              <w:pStyle w:val="Compact"/>
              <w:jc w:val="left"/>
            </w:pPr>
            <w:r>
              <w:t xml:space="preserve">Deep Learning (medical applications)</w:t>
            </w:r>
          </w:p>
        </w:tc>
        <w:tc>
          <w:p>
            <w:pPr>
              <w:pStyle w:val="SourceCode"/>
              <w:jc w:val="left"/>
            </w:pPr>
            <w:r>
              <w:rPr>
                <w:rStyle w:val="VerbatimChar"/>
              </w:rPr>
              <w:t xml:space="preserve">       702</w:t>
            </w:r>
          </w:p>
        </w:tc>
        <w:tc>
          <w:p>
            <w:pPr>
              <w:pStyle w:val="SourceCode"/>
              <w:jc w:val="left"/>
            </w:pPr>
            <w:r>
              <w:rPr>
                <w:rStyle w:val="VerbatimChar"/>
              </w:rPr>
              <w:t xml:space="preserve">        823</w:t>
            </w:r>
          </w:p>
        </w:tc>
        <w:tc>
          <w:p>
            <w:pPr>
              <w:pStyle w:val="SourceCode"/>
              <w:jc w:val="left"/>
            </w:pPr>
            <w:r>
              <w:rPr>
                <w:rStyle w:val="VerbatimChar"/>
              </w:rPr>
              <w:t xml:space="preserve">            6</w:t>
            </w:r>
          </w:p>
        </w:tc>
        <w:tc>
          <w:p>
            <w:pPr>
              <w:pStyle w:val="SourceCode"/>
              <w:jc w:val="left"/>
            </w:pPr>
            <w:r>
              <w:rPr>
                <w:rStyle w:val="VerbatimChar"/>
              </w:rPr>
              <w:t xml:space="preserve">   0.519</w:t>
            </w:r>
          </w:p>
        </w:tc>
        <w:tc>
          <w:p>
            <w:pPr>
              <w:pStyle w:val="SourceCode"/>
              <w:jc w:val="left"/>
            </w:pPr>
            <w:r>
              <w:rPr>
                <w:rStyle w:val="VerbatimChar"/>
              </w:rPr>
              <w:t xml:space="preserve">       0.708</w:t>
            </w:r>
          </w:p>
        </w:tc>
        <w:tc>
          <w:p>
            <w:pPr>
              <w:pStyle w:val="SourceCode"/>
              <w:jc w:val="left"/>
            </w:pPr>
            <w:r>
              <w:rPr>
                <w:rStyle w:val="VerbatimChar"/>
              </w:rPr>
              <w:t xml:space="preserve">            0.098</w:t>
            </w:r>
          </w:p>
        </w:tc>
      </w:tr>
      <w:tr>
        <w:tc>
          <w:p>
            <w:pPr>
              <w:pStyle w:val="Compact"/>
              <w:jc w:val="left"/>
            </w:pPr>
            <w:r>
              <w:t xml:space="preserve">RVRP (validation anchor)</w:t>
            </w:r>
          </w:p>
        </w:tc>
        <w:tc>
          <w:p>
            <w:pPr>
              <w:pStyle w:val="SourceCode"/>
              <w:jc w:val="left"/>
            </w:pPr>
            <w:r>
              <w:rPr>
                <w:rStyle w:val="VerbatimChar"/>
              </w:rPr>
              <w:t xml:space="preserve">       393</w:t>
            </w:r>
          </w:p>
        </w:tc>
        <w:tc>
          <w:p>
            <w:pPr>
              <w:pStyle w:val="SourceCode"/>
              <w:jc w:val="left"/>
            </w:pPr>
            <w:r>
              <w:rPr>
                <w:rStyle w:val="VerbatimChar"/>
              </w:rPr>
              <w:t xml:space="preserve">      1,630</w:t>
            </w:r>
          </w:p>
        </w:tc>
        <w:tc>
          <w:p>
            <w:pPr>
              <w:pStyle w:val="SourceCode"/>
              <w:jc w:val="left"/>
            </w:pPr>
            <w:r>
              <w:rPr>
                <w:rStyle w:val="VerbatimChar"/>
              </w:rPr>
              <w:t xml:space="preserve">            6</w:t>
            </w:r>
          </w:p>
        </w:tc>
        <w:tc>
          <w:p>
            <w:pPr>
              <w:pStyle w:val="SourceCode"/>
              <w:jc w:val="left"/>
            </w:pPr>
            <w:r>
              <w:rPr>
                <w:rStyle w:val="VerbatimChar"/>
              </w:rPr>
              <w:t xml:space="preserve">   0.526</w:t>
            </w:r>
          </w:p>
        </w:tc>
        <w:tc>
          <w:p>
            <w:pPr>
              <w:pStyle w:val="SourceCode"/>
              <w:jc w:val="left"/>
            </w:pPr>
            <w:r>
              <w:rPr>
                <w:rStyle w:val="VerbatimChar"/>
              </w:rPr>
              <w:t xml:space="preserve">       0.613</w:t>
            </w:r>
          </w:p>
        </w:tc>
        <w:tc>
          <w:p>
            <w:pPr>
              <w:pStyle w:val="SourceCode"/>
              <w:jc w:val="left"/>
            </w:pPr>
            <w:r>
              <w:rPr>
                <w:rStyle w:val="VerbatimChar"/>
              </w:rPr>
              <w:t xml:space="preserve">            0.216</w:t>
            </w:r>
          </w:p>
        </w:tc>
      </w:tr>
      <w:tr>
        <w:tc>
          <w:p>
            <w:pPr>
              <w:pStyle w:val="Compact"/>
              <w:jc w:val="left"/>
            </w:pPr>
            <w:r>
              <w:t xml:space="preserve">Adolescent Mental Health</w:t>
            </w:r>
          </w:p>
        </w:tc>
        <w:tc>
          <w:p>
            <w:pPr>
              <w:pStyle w:val="SourceCode"/>
              <w:jc w:val="left"/>
            </w:pPr>
            <w:r>
              <w:rPr>
                <w:rStyle w:val="VerbatimChar"/>
              </w:rPr>
              <w:t xml:space="preserve">     1,319</w:t>
            </w:r>
          </w:p>
        </w:tc>
        <w:tc>
          <w:p>
            <w:pPr>
              <w:pStyle w:val="SourceCode"/>
              <w:jc w:val="left"/>
            </w:pPr>
            <w:r>
              <w:rPr>
                <w:rStyle w:val="VerbatimChar"/>
              </w:rPr>
              <w:t xml:space="preserve">      1,376</w:t>
            </w:r>
          </w:p>
        </w:tc>
        <w:tc>
          <w:p>
            <w:pPr>
              <w:pStyle w:val="SourceCode"/>
              <w:jc w:val="left"/>
            </w:pPr>
            <w:r>
              <w:rPr>
                <w:rStyle w:val="VerbatimChar"/>
              </w:rPr>
              <w:t xml:space="preserve">            7</w:t>
            </w:r>
          </w:p>
        </w:tc>
        <w:tc>
          <w:p>
            <w:pPr>
              <w:pStyle w:val="SourceCode"/>
              <w:jc w:val="left"/>
            </w:pPr>
            <w:r>
              <w:rPr>
                <w:rStyle w:val="VerbatimChar"/>
              </w:rPr>
              <w:t xml:space="preserve">   0.544</w:t>
            </w:r>
          </w:p>
        </w:tc>
        <w:tc>
          <w:p>
            <w:pPr>
              <w:pStyle w:val="SourceCode"/>
              <w:jc w:val="left"/>
            </w:pPr>
            <w:r>
              <w:rPr>
                <w:rStyle w:val="VerbatimChar"/>
              </w:rPr>
              <w:t xml:space="preserve">       0.457</w:t>
            </w:r>
          </w:p>
        </w:tc>
        <w:tc>
          <w:p>
            <w:pPr>
              <w:pStyle w:val="SourceCode"/>
              <w:jc w:val="left"/>
            </w:pPr>
            <w:r>
              <w:rPr>
                <w:rStyle w:val="VerbatimChar"/>
              </w:rPr>
              <w:t xml:space="preserve">            0.300</w:t>
            </w:r>
          </w:p>
        </w:tc>
      </w:tr>
      <w:tr>
        <w:tc>
          <w:p>
            <w:pPr>
              <w:pStyle w:val="Compact"/>
              <w:jc w:val="left"/>
            </w:pPr>
            <w:r>
              <w:t xml:space="preserve">COVID-19 Vaccine Hesitancy</w:t>
            </w:r>
          </w:p>
        </w:tc>
        <w:tc>
          <w:p>
            <w:pPr>
              <w:pStyle w:val="SourceCode"/>
              <w:jc w:val="left"/>
            </w:pPr>
            <w:r>
              <w:rPr>
                <w:rStyle w:val="VerbatimChar"/>
              </w:rPr>
              <w:t xml:space="preserve">     1,809</w:t>
            </w:r>
          </w:p>
        </w:tc>
        <w:tc>
          <w:p>
            <w:pPr>
              <w:pStyle w:val="SourceCode"/>
              <w:jc w:val="left"/>
            </w:pPr>
            <w:r>
              <w:rPr>
                <w:rStyle w:val="VerbatimChar"/>
              </w:rPr>
              <w:t xml:space="preserve">      2,389</w:t>
            </w:r>
          </w:p>
        </w:tc>
        <w:tc>
          <w:p>
            <w:pPr>
              <w:pStyle w:val="SourceCode"/>
              <w:jc w:val="left"/>
            </w:pPr>
            <w:r>
              <w:rPr>
                <w:rStyle w:val="VerbatimChar"/>
              </w:rPr>
              <w:t xml:space="preserve">            7</w:t>
            </w:r>
          </w:p>
        </w:tc>
        <w:tc>
          <w:p>
            <w:pPr>
              <w:pStyle w:val="SourceCode"/>
              <w:jc w:val="left"/>
            </w:pPr>
            <w:r>
              <w:rPr>
                <w:rStyle w:val="VerbatimChar"/>
              </w:rPr>
              <w:t xml:space="preserve">   0.550</w:t>
            </w:r>
          </w:p>
        </w:tc>
        <w:tc>
          <w:p>
            <w:pPr>
              <w:pStyle w:val="SourceCode"/>
              <w:jc w:val="left"/>
            </w:pPr>
            <w:r>
              <w:rPr>
                <w:rStyle w:val="VerbatimChar"/>
              </w:rPr>
              <w:t xml:space="preserve">       0.232</w:t>
            </w:r>
          </w:p>
        </w:tc>
        <w:tc>
          <w:p>
            <w:pPr>
              <w:pStyle w:val="SourceCode"/>
              <w:jc w:val="left"/>
            </w:pPr>
            <w:r>
              <w:rPr>
                <w:rStyle w:val="VerbatimChar"/>
              </w:rPr>
              <w:t xml:space="preserve">            0.543</w:t>
            </w:r>
          </w:p>
        </w:tc>
      </w:tr>
      <w:tr>
        <w:tc>
          <w:p>
            <w:pPr>
              <w:pStyle w:val="Compact"/>
              <w:jc w:val="left"/>
            </w:pPr>
            <w:r>
              <w:t xml:space="preserve">Blockchain in Finance and Supply Chain</w:t>
            </w:r>
          </w:p>
        </w:tc>
        <w:tc>
          <w:p>
            <w:pPr>
              <w:pStyle w:val="SourceCode"/>
              <w:jc w:val="left"/>
            </w:pPr>
            <w:r>
              <w:rPr>
                <w:rStyle w:val="VerbatimChar"/>
              </w:rPr>
              <w:t xml:space="preserve">       318</w:t>
            </w:r>
          </w:p>
        </w:tc>
        <w:tc>
          <w:p>
            <w:pPr>
              <w:pStyle w:val="SourceCode"/>
              <w:jc w:val="left"/>
            </w:pPr>
            <w:r>
              <w:rPr>
                <w:rStyle w:val="VerbatimChar"/>
              </w:rPr>
              <w:t xml:space="preserve">      1,499</w:t>
            </w:r>
          </w:p>
        </w:tc>
        <w:tc>
          <w:p>
            <w:pPr>
              <w:pStyle w:val="SourceCode"/>
              <w:jc w:val="left"/>
            </w:pPr>
            <w:r>
              <w:rPr>
                <w:rStyle w:val="VerbatimChar"/>
              </w:rPr>
              <w:t xml:space="preserve">            7</w:t>
            </w:r>
          </w:p>
        </w:tc>
        <w:tc>
          <w:p>
            <w:pPr>
              <w:pStyle w:val="SourceCode"/>
              <w:jc w:val="left"/>
            </w:pPr>
            <w:r>
              <w:rPr>
                <w:rStyle w:val="VerbatimChar"/>
              </w:rPr>
              <w:t xml:space="preserve">   0.568</w:t>
            </w:r>
          </w:p>
        </w:tc>
        <w:tc>
          <w:p>
            <w:pPr>
              <w:pStyle w:val="SourceCode"/>
              <w:jc w:val="left"/>
            </w:pPr>
            <w:r>
              <w:rPr>
                <w:rStyle w:val="VerbatimChar"/>
              </w:rPr>
              <w:t xml:space="preserve">       0.549</w:t>
            </w:r>
          </w:p>
        </w:tc>
        <w:tc>
          <w:p>
            <w:pPr>
              <w:pStyle w:val="SourceCode"/>
              <w:jc w:val="left"/>
            </w:pPr>
            <w:r>
              <w:rPr>
                <w:rStyle w:val="VerbatimChar"/>
              </w:rPr>
              <w:t xml:space="preserve">            0.281</w:t>
            </w:r>
          </w:p>
        </w:tc>
      </w:tr>
      <w:tr>
        <w:tc>
          <w:p>
            <w:pPr>
              <w:pStyle w:val="Compact"/>
              <w:jc w:val="left"/>
            </w:pPr>
            <w:r>
              <w:t xml:space="preserve">Financial Literacy</w:t>
            </w:r>
          </w:p>
        </w:tc>
        <w:tc>
          <w:p>
            <w:pPr>
              <w:pStyle w:val="SourceCode"/>
              <w:jc w:val="left"/>
            </w:pPr>
            <w:r>
              <w:rPr>
                <w:rStyle w:val="VerbatimChar"/>
              </w:rPr>
              <w:t xml:space="preserve">       310</w:t>
            </w:r>
          </w:p>
        </w:tc>
        <w:tc>
          <w:p>
            <w:pPr>
              <w:pStyle w:val="SourceCode"/>
              <w:jc w:val="left"/>
            </w:pPr>
            <w:r>
              <w:rPr>
                <w:rStyle w:val="VerbatimChar"/>
              </w:rPr>
              <w:t xml:space="preserve">      1,962</w:t>
            </w:r>
          </w:p>
        </w:tc>
        <w:tc>
          <w:p>
            <w:pPr>
              <w:pStyle w:val="SourceCode"/>
              <w:jc w:val="left"/>
            </w:pPr>
            <w:r>
              <w:rPr>
                <w:rStyle w:val="VerbatimChar"/>
              </w:rPr>
              <w:t xml:space="preserve">            7</w:t>
            </w:r>
          </w:p>
        </w:tc>
        <w:tc>
          <w:p>
            <w:pPr>
              <w:pStyle w:val="SourceCode"/>
              <w:jc w:val="left"/>
            </w:pPr>
            <w:r>
              <w:rPr>
                <w:rStyle w:val="VerbatimChar"/>
              </w:rPr>
              <w:t xml:space="preserve">   0.569</w:t>
            </w:r>
          </w:p>
        </w:tc>
        <w:tc>
          <w:p>
            <w:pPr>
              <w:pStyle w:val="SourceCode"/>
              <w:jc w:val="left"/>
            </w:pPr>
            <w:r>
              <w:rPr>
                <w:rStyle w:val="VerbatimChar"/>
              </w:rPr>
              <w:t xml:space="preserve">       0.451</w:t>
            </w:r>
          </w:p>
        </w:tc>
        <w:tc>
          <w:p>
            <w:pPr>
              <w:pStyle w:val="SourceCode"/>
              <w:jc w:val="left"/>
            </w:pPr>
            <w:r>
              <w:rPr>
                <w:rStyle w:val="VerbatimChar"/>
              </w:rPr>
              <w:t xml:space="preserve">            0.380</w:t>
            </w:r>
          </w:p>
        </w:tc>
      </w:tr>
      <w:tr>
        <w:tc>
          <w:p>
            <w:pPr>
              <w:pStyle w:val="Compact"/>
              <w:jc w:val="left"/>
            </w:pPr>
            <w:r>
              <w:t xml:space="preserve">Antimicrobial Resistance</w:t>
            </w:r>
          </w:p>
        </w:tc>
        <w:tc>
          <w:p>
            <w:pPr>
              <w:pStyle w:val="SourceCode"/>
              <w:jc w:val="left"/>
            </w:pPr>
            <w:r>
              <w:rPr>
                <w:rStyle w:val="VerbatimChar"/>
              </w:rPr>
              <w:t xml:space="preserve">     1,359</w:t>
            </w:r>
          </w:p>
        </w:tc>
        <w:tc>
          <w:p>
            <w:pPr>
              <w:pStyle w:val="SourceCode"/>
              <w:jc w:val="left"/>
            </w:pPr>
            <w:r>
              <w:rPr>
                <w:rStyle w:val="VerbatimChar"/>
              </w:rPr>
              <w:t xml:space="preserve">      1,448</w:t>
            </w:r>
          </w:p>
        </w:tc>
        <w:tc>
          <w:p>
            <w:pPr>
              <w:pStyle w:val="SourceCode"/>
              <w:jc w:val="left"/>
            </w:pPr>
            <w:r>
              <w:rPr>
                <w:rStyle w:val="VerbatimChar"/>
              </w:rPr>
              <w:t xml:space="preserve">            7</w:t>
            </w:r>
          </w:p>
        </w:tc>
        <w:tc>
          <w:p>
            <w:pPr>
              <w:pStyle w:val="SourceCode"/>
              <w:jc w:val="left"/>
            </w:pPr>
            <w:r>
              <w:rPr>
                <w:rStyle w:val="VerbatimChar"/>
              </w:rPr>
              <w:t xml:space="preserve">   0.576</w:t>
            </w:r>
          </w:p>
        </w:tc>
        <w:tc>
          <w:p>
            <w:pPr>
              <w:pStyle w:val="SourceCode"/>
              <w:jc w:val="left"/>
            </w:pPr>
            <w:r>
              <w:rPr>
                <w:rStyle w:val="VerbatimChar"/>
              </w:rPr>
              <w:t xml:space="preserve">       0.533</w:t>
            </w:r>
          </w:p>
        </w:tc>
        <w:tc>
          <w:p>
            <w:pPr>
              <w:pStyle w:val="SourceCode"/>
              <w:jc w:val="left"/>
            </w:pPr>
            <w:r>
              <w:rPr>
                <w:rStyle w:val="VerbatimChar"/>
              </w:rPr>
              <w:t xml:space="preserve">            0.318</w:t>
            </w:r>
          </w:p>
        </w:tc>
      </w:tr>
      <w:tr>
        <w:tc>
          <w:p>
            <w:pPr>
              <w:pStyle w:val="Compact"/>
              <w:jc w:val="left"/>
            </w:pPr>
            <w:r>
              <w:t xml:space="preserve">Online Education</w:t>
            </w:r>
          </w:p>
        </w:tc>
        <w:tc>
          <w:p>
            <w:pPr>
              <w:pStyle w:val="SourceCode"/>
              <w:jc w:val="left"/>
            </w:pPr>
            <w:r>
              <w:rPr>
                <w:rStyle w:val="VerbatimChar"/>
              </w:rPr>
              <w:t xml:space="preserve">     1,122</w:t>
            </w:r>
          </w:p>
        </w:tc>
        <w:tc>
          <w:p>
            <w:pPr>
              <w:pStyle w:val="SourceCode"/>
              <w:jc w:val="left"/>
            </w:pPr>
            <w:r>
              <w:rPr>
                <w:rStyle w:val="VerbatimChar"/>
              </w:rPr>
              <w:t xml:space="preserve">      1,065</w:t>
            </w:r>
          </w:p>
        </w:tc>
        <w:tc>
          <w:p>
            <w:pPr>
              <w:pStyle w:val="SourceCode"/>
              <w:jc w:val="left"/>
            </w:pPr>
            <w:r>
              <w:rPr>
                <w:rStyle w:val="VerbatimChar"/>
              </w:rPr>
              <w:t xml:space="preserve">            8</w:t>
            </w:r>
          </w:p>
        </w:tc>
        <w:tc>
          <w:p>
            <w:pPr>
              <w:pStyle w:val="SourceCode"/>
              <w:jc w:val="left"/>
            </w:pPr>
            <w:r>
              <w:rPr>
                <w:rStyle w:val="VerbatimChar"/>
              </w:rPr>
              <w:t xml:space="preserve">   0.594</w:t>
            </w:r>
          </w:p>
        </w:tc>
        <w:tc>
          <w:p>
            <w:pPr>
              <w:pStyle w:val="SourceCode"/>
              <w:jc w:val="left"/>
            </w:pPr>
            <w:r>
              <w:rPr>
                <w:rStyle w:val="VerbatimChar"/>
              </w:rPr>
              <w:t xml:space="preserve">       0.511</w:t>
            </w:r>
          </w:p>
        </w:tc>
        <w:tc>
          <w:p>
            <w:pPr>
              <w:pStyle w:val="SourceCode"/>
              <w:jc w:val="left"/>
            </w:pPr>
            <w:r>
              <w:rPr>
                <w:rStyle w:val="VerbatimChar"/>
              </w:rPr>
              <w:t xml:space="preserve">            0.272</w:t>
            </w:r>
          </w:p>
        </w:tc>
      </w:tr>
      <w:tr>
        <w:tc>
          <w:p>
            <w:pPr>
              <w:pStyle w:val="Compact"/>
              <w:jc w:val="left"/>
            </w:pPr>
            <w:r>
              <w:t xml:space="preserve">Renewable Energy</w:t>
            </w:r>
          </w:p>
        </w:tc>
        <w:tc>
          <w:p>
            <w:pPr>
              <w:pStyle w:val="SourceCode"/>
              <w:jc w:val="left"/>
            </w:pPr>
            <w:r>
              <w:rPr>
                <w:rStyle w:val="VerbatimChar"/>
              </w:rPr>
              <w:t xml:space="preserve">       886</w:t>
            </w:r>
          </w:p>
        </w:tc>
        <w:tc>
          <w:p>
            <w:pPr>
              <w:pStyle w:val="SourceCode"/>
              <w:jc w:val="left"/>
            </w:pPr>
            <w:r>
              <w:rPr>
                <w:rStyle w:val="VerbatimChar"/>
              </w:rPr>
              <w:t xml:space="preserve">      1,070</w:t>
            </w:r>
          </w:p>
        </w:tc>
        <w:tc>
          <w:p>
            <w:pPr>
              <w:pStyle w:val="SourceCode"/>
              <w:jc w:val="left"/>
            </w:pPr>
            <w:r>
              <w:rPr>
                <w:rStyle w:val="VerbatimChar"/>
              </w:rPr>
              <w:t xml:space="preserve">           10</w:t>
            </w:r>
          </w:p>
        </w:tc>
        <w:tc>
          <w:p>
            <w:pPr>
              <w:pStyle w:val="SourceCode"/>
              <w:jc w:val="left"/>
            </w:pPr>
            <w:r>
              <w:rPr>
                <w:rStyle w:val="VerbatimChar"/>
              </w:rPr>
              <w:t xml:space="preserve">   0.602</w:t>
            </w:r>
          </w:p>
        </w:tc>
        <w:tc>
          <w:p>
            <w:pPr>
              <w:pStyle w:val="SourceCode"/>
              <w:jc w:val="left"/>
            </w:pPr>
            <w:r>
              <w:rPr>
                <w:rStyle w:val="VerbatimChar"/>
              </w:rPr>
              <w:t xml:space="preserve">       0.606</w:t>
            </w:r>
          </w:p>
        </w:tc>
        <w:tc>
          <w:p>
            <w:pPr>
              <w:pStyle w:val="SourceCode"/>
              <w:jc w:val="left"/>
            </w:pPr>
            <w:r>
              <w:rPr>
                <w:rStyle w:val="VerbatimChar"/>
              </w:rPr>
              <w:t xml:space="preserve">            0.200</w:t>
            </w:r>
          </w:p>
        </w:tc>
      </w:tr>
      <w:tr>
        <w:tc>
          <w:p>
            <w:pPr>
              <w:pStyle w:val="Compact"/>
              <w:jc w:val="left"/>
            </w:pPr>
            <w:r>
              <w:t xml:space="preserve">Precision Agriculture</w:t>
            </w:r>
          </w:p>
        </w:tc>
        <w:tc>
          <w:p>
            <w:pPr>
              <w:pStyle w:val="SourceCode"/>
              <w:jc w:val="left"/>
            </w:pPr>
            <w:r>
              <w:rPr>
                <w:rStyle w:val="VerbatimChar"/>
              </w:rPr>
              <w:t xml:space="preserve">       451</w:t>
            </w:r>
          </w:p>
        </w:tc>
        <w:tc>
          <w:p>
            <w:pPr>
              <w:pStyle w:val="SourceCode"/>
              <w:jc w:val="left"/>
            </w:pPr>
            <w:r>
              <w:rPr>
                <w:rStyle w:val="VerbatimChar"/>
              </w:rPr>
              <w:t xml:space="preserve">      3,201</w:t>
            </w:r>
          </w:p>
        </w:tc>
        <w:tc>
          <w:p>
            <w:pPr>
              <w:pStyle w:val="SourceCode"/>
              <w:jc w:val="left"/>
            </w:pPr>
            <w:r>
              <w:rPr>
                <w:rStyle w:val="VerbatimChar"/>
              </w:rPr>
              <w:t xml:space="preserve">            9</w:t>
            </w:r>
          </w:p>
        </w:tc>
        <w:tc>
          <w:p>
            <w:pPr>
              <w:pStyle w:val="SourceCode"/>
              <w:jc w:val="left"/>
            </w:pPr>
            <w:r>
              <w:rPr>
                <w:rStyle w:val="VerbatimChar"/>
              </w:rPr>
              <w:t xml:space="preserve">   0.620</w:t>
            </w:r>
          </w:p>
        </w:tc>
        <w:tc>
          <w:p>
            <w:pPr>
              <w:pStyle w:val="SourceCode"/>
              <w:jc w:val="left"/>
            </w:pPr>
            <w:r>
              <w:rPr>
                <w:rStyle w:val="VerbatimChar"/>
              </w:rPr>
              <w:t xml:space="preserve">       0.743</w:t>
            </w:r>
          </w:p>
        </w:tc>
        <w:tc>
          <w:p>
            <w:pPr>
              <w:pStyle w:val="SourceCode"/>
              <w:jc w:val="left"/>
            </w:pPr>
            <w:r>
              <w:rPr>
                <w:rStyle w:val="VerbatimChar"/>
              </w:rPr>
              <w:t xml:space="preserve">            0.115</w:t>
            </w:r>
          </w:p>
        </w:tc>
      </w:tr>
      <w:tr>
        <w:tc>
          <w:p>
            <w:pPr>
              <w:pStyle w:val="Compact"/>
              <w:jc w:val="left"/>
            </w:pPr>
            <w:r>
              <w:t xml:space="preserve">Sustainable Urban Mobility</w:t>
            </w:r>
          </w:p>
        </w:tc>
        <w:tc>
          <w:p>
            <w:pPr>
              <w:pStyle w:val="SourceCode"/>
              <w:jc w:val="left"/>
            </w:pPr>
            <w:r>
              <w:rPr>
                <w:rStyle w:val="VerbatimChar"/>
              </w:rPr>
              <w:t xml:space="preserve">       636</w:t>
            </w:r>
          </w:p>
        </w:tc>
        <w:tc>
          <w:p>
            <w:pPr>
              <w:pStyle w:val="SourceCode"/>
              <w:jc w:val="left"/>
            </w:pPr>
            <w:r>
              <w:rPr>
                <w:rStyle w:val="VerbatimChar"/>
              </w:rPr>
              <w:t xml:space="preserve">      1,631</w:t>
            </w:r>
          </w:p>
        </w:tc>
        <w:tc>
          <w:p>
            <w:pPr>
              <w:pStyle w:val="SourceCode"/>
              <w:jc w:val="left"/>
            </w:pPr>
            <w:r>
              <w:rPr>
                <w:rStyle w:val="VerbatimChar"/>
              </w:rPr>
              <w:t xml:space="preserve">           12</w:t>
            </w:r>
          </w:p>
        </w:tc>
        <w:tc>
          <w:p>
            <w:pPr>
              <w:pStyle w:val="SourceCode"/>
              <w:jc w:val="left"/>
            </w:pPr>
            <w:r>
              <w:rPr>
                <w:rStyle w:val="VerbatimChar"/>
              </w:rPr>
              <w:t xml:space="preserve">   0.640</w:t>
            </w:r>
          </w:p>
        </w:tc>
        <w:tc>
          <w:p>
            <w:pPr>
              <w:pStyle w:val="SourceCode"/>
              <w:jc w:val="left"/>
            </w:pPr>
            <w:r>
              <w:rPr>
                <w:rStyle w:val="VerbatimChar"/>
              </w:rPr>
              <w:t xml:space="preserve">       0.865</w:t>
            </w:r>
          </w:p>
        </w:tc>
        <w:tc>
          <w:p>
            <w:pPr>
              <w:pStyle w:val="SourceCode"/>
              <w:jc w:val="left"/>
            </w:pPr>
            <w:r>
              <w:rPr>
                <w:rStyle w:val="VerbatimChar"/>
              </w:rPr>
              <w:t xml:space="preserve">            0.056</w:t>
            </w:r>
          </w:p>
        </w:tc>
      </w:tr>
    </w:tbl>
    <w:p>
      <w:pPr>
        <w:pStyle w:val="FirstParagraph"/>
      </w:pPr>
      <w:r>
        <w:t xml:space="preserve">Figures 4 and 5 illustrate the two structural extremes: the lowest-fragmentation network (Supply Chain Resilience) and the highest-fragmentation network (Sustainable Urban Mobility).</w:t>
      </w:r>
    </w:p>
    <w:p>
      <w:pPr>
        <w:pStyle w:val="CaptionedFigure"/>
      </w:pPr>
      <w:r>
        <w:drawing>
          <wp:inline>
            <wp:extent cx="5334000" cy="3817836"/>
            <wp:effectExtent b="0" l="0" r="0" t="0"/>
            <wp:docPr descr="Co-citation network of Supply Chain Resilience, the field with the lowest observed IFP (0.328)."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ImageCaption"/>
      </w:pPr>
      <w:r>
        <w:t xml:space="preserve">Co-citation network of Supply Chain Resilience, the field with the lowest observed IFP (0.328).</w:t>
      </w:r>
    </w:p>
    <w:p>
      <w:pPr>
        <w:pStyle w:val="CaptionedFigure"/>
      </w:pPr>
      <w:r>
        <w:drawing>
          <wp:inline>
            <wp:extent cx="5334000" cy="3637291"/>
            <wp:effectExtent b="0" l="0" r="0" t="0"/>
            <wp:docPr descr="Co-citation network of Sustainable Urban Mobility, the field with the highest observed IFP (0.640)."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ImageCaption"/>
      </w:pPr>
      <w:r>
        <w:t xml:space="preserve">Co-citation network of Sustainable Urban Mobility, the field with the highest observed IFP (0.640).</w:t>
      </w:r>
    </w:p>
    <w:p>
      <w:pPr>
        <w:pStyle w:val="CaptionedFigure"/>
      </w:pPr>
      <w:r>
        <w:drawing>
          <wp:inline>
            <wp:extent cx="5334000" cy="4441062"/>
            <wp:effectExtent b="0" l="0" r="0" t="0"/>
            <wp:docPr descr="Comparative ranking of IFP across all 20 fields."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ImageCaption"/>
      </w:pP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CaptionedFigure"/>
      </w:pPr>
      <w:r>
        <w:drawing>
          <wp:inline>
            <wp:extent cx="5334000" cy="2513391"/>
            <wp:effectExtent b="0" l="0" r="0" t="0"/>
            <wp:docPr descr="Robustness check: IFP plotted against the number of source articles (left) and the number of nodes in the pruned network (right), across all 20 fields. Dashed lines show ordinary least-squares fits; neither correlation is statistically significant at α = 0.05."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ImageCaption"/>
      </w:pP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kind of consolidation one would expect as a subfield’s publication and citation growth stabilizes over time (Bornmann &amp; Mutz, 2015).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https://github.com/danielaristo/perspective-fragmentation-index.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Bornmann, L., &amp; Mutz, R. (2015). Growth rates of modern science: A bibliometric analysis based on the number of publications and cited references.</w:t>
      </w:r>
      <w:r>
        <w:t xml:space="preserve"> </w:t>
      </w:r>
      <w:r>
        <w:rPr>
          <w:iCs/>
          <w:i/>
        </w:rPr>
        <w:t xml:space="preserve">Journal of the Association for Information Science and Technology</w:t>
      </w:r>
      <w:r>
        <w:t xml:space="preserve">, 66(11), 2215–2222.</w:t>
      </w:r>
    </w:p>
    <w:p>
      <w:pPr>
        <w:pStyle w:val="BodyText"/>
      </w:pPr>
      <w:r>
        <w:t xml:space="preserve">Boyack, K. W., &amp; Klavans, R. (2010). Co-citation analysis, bibliographic coupling, and direct citation: Which citation approach represents the research front most accurately?</w:t>
      </w:r>
      <w:r>
        <w:t xml:space="preserve"> </w:t>
      </w:r>
      <w:r>
        <w:rPr>
          <w:iCs/>
          <w:i/>
        </w:rPr>
        <w:t xml:space="preserve">Journal of the American Society for Information Science and Technology</w:t>
      </w:r>
      <w:r>
        <w:t xml:space="preserve">, 61(12), 2389–2404.</w:t>
      </w:r>
    </w:p>
    <w:p>
      <w:pPr>
        <w:pStyle w:val="BodyText"/>
      </w:pPr>
      <w:r>
        <w:t xml:space="preserve">Callon, M., Courtial, J. P., &amp; Laville, F. (1991). Co-word analysis as a tool for describing the network of interactions between basic and technological research: The case of polymer chemistry.</w:t>
      </w:r>
      <w:r>
        <w:t xml:space="preserve"> </w:t>
      </w:r>
      <w:r>
        <w:rPr>
          <w:iCs/>
          <w:i/>
        </w:rPr>
        <w:t xml:space="preserve">Scientometrics</w:t>
      </w:r>
      <w:r>
        <w:t xml:space="preserve">, 22(1), 155–205.</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Cobo, M. J., López-Herrera, A. G., Herrera-Viedma, E., &amp; Herrera, F. (2011). Science mapping software tools: Review, analysis, and cooperative study among tools.</w:t>
      </w:r>
      <w:r>
        <w:t xml:space="preserve"> </w:t>
      </w:r>
      <w:r>
        <w:rPr>
          <w:iCs/>
          <w:i/>
        </w:rPr>
        <w:t xml:space="preserve">Journal of the American Society for Information Science and Technology</w:t>
      </w:r>
      <w:r>
        <w:t xml:space="preserve">, 62(7), 1382–1402.</w:t>
      </w:r>
    </w:p>
    <w:p>
      <w:pPr>
        <w:pStyle w:val="BodyText"/>
      </w:pPr>
      <w:r>
        <w:t xml:space="preserve">de Solla Price, D. J. (1965). Networks of scientific papers.</w:t>
      </w:r>
      <w:r>
        <w:t xml:space="preserve"> </w:t>
      </w:r>
      <w:r>
        <w:rPr>
          <w:iCs/>
          <w:i/>
        </w:rPr>
        <w:t xml:space="preserve">Science</w:t>
      </w:r>
      <w:r>
        <w:t xml:space="preserve">, 149(3683), 510–515.</w:t>
      </w:r>
    </w:p>
    <w:p>
      <w:pPr>
        <w:pStyle w:val="BodyText"/>
      </w:pPr>
      <w:r>
        <w:t xml:space="preserve">Donthu, N., Kumar, S., Mukherjee, D., Pandey, N., &amp; Lim, W. M. (2021). How to conduct a bibliometric analysis: An overview and guidelines.</w:t>
      </w:r>
      <w:r>
        <w:t xml:space="preserve"> </w:t>
      </w:r>
      <w:r>
        <w:rPr>
          <w:iCs/>
          <w:i/>
        </w:rPr>
        <w:t xml:space="preserve">Journal of Business Research</w:t>
      </w:r>
      <w:r>
        <w:t xml:space="preserve">, 133, 285–296.</w:t>
      </w:r>
    </w:p>
    <w:p>
      <w:pPr>
        <w:pStyle w:val="BodyText"/>
      </w:pPr>
      <w:r>
        <w:t xml:space="preserve">Fortunato, S. (2010). Community detection in graphs.</w:t>
      </w:r>
      <w:r>
        <w:t xml:space="preserve"> </w:t>
      </w:r>
      <w:r>
        <w:rPr>
          <w:iCs/>
          <w:i/>
        </w:rPr>
        <w:t xml:space="preserve">Physics Reports</w:t>
      </w:r>
      <w:r>
        <w:t xml:space="preserve">, 486(3–5), 75–174.</w:t>
      </w:r>
    </w:p>
    <w:p>
      <w:pPr>
        <w:pStyle w:val="BodyText"/>
      </w:pPr>
      <w:r>
        <w:t xml:space="preserve">Garfield, E. (1972). Citation analysis as a tool in journal evaluation.</w:t>
      </w:r>
      <w:r>
        <w:t xml:space="preserve"> </w:t>
      </w:r>
      <w:r>
        <w:rPr>
          <w:iCs/>
          <w:i/>
        </w:rPr>
        <w:t xml:space="preserve">Science</w:t>
      </w:r>
      <w:r>
        <w:t xml:space="preserve">, 178(4060), 471–479.</w:t>
      </w:r>
    </w:p>
    <w:p>
      <w:pPr>
        <w:pStyle w:val="BodyText"/>
      </w:pPr>
      <w:r>
        <w:t xml:space="preserve">Girvan, M., &amp; Newman, M. E. J. (2002). Community structure in social and biological networks.</w:t>
      </w:r>
      <w:r>
        <w:t xml:space="preserve"> </w:t>
      </w:r>
      <w:r>
        <w:rPr>
          <w:iCs/>
          <w:i/>
        </w:rPr>
        <w:t xml:space="preserve">Proceedings of the National Academy of Sciences</w:t>
      </w:r>
      <w:r>
        <w:t xml:space="preserve">, 99(12), 7821–7826.</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Khraisha, Q., Put, S., Kappenberg, J., Warraitch, A., &amp; Hadfield, K. (2024). Can large language models replace humans in systematic reviews? Evaluating GPT-4’s efficacy in screening and extracting data from peer-reviewed and grey literature in multiple languages.</w:t>
      </w:r>
      <w:r>
        <w:t xml:space="preserve"> </w:t>
      </w:r>
      <w:r>
        <w:rPr>
          <w:iCs/>
          <w:i/>
        </w:rPr>
        <w:t xml:space="preserve">Research Synthesis Methods</w:t>
      </w:r>
      <w:r>
        <w:t xml:space="preserve">, 15(4), 616–626.</w:t>
      </w:r>
    </w:p>
    <w:p>
      <w:pPr>
        <w:pStyle w:val="BodyText"/>
      </w:pPr>
      <w:r>
        <w:t xml:space="preserve">Leydesdorff, L., &amp; Rafols, I. (2009). A global map of science based on the ISI subject categories.</w:t>
      </w:r>
      <w:r>
        <w:t xml:space="preserve"> </w:t>
      </w:r>
      <w:r>
        <w:rPr>
          <w:iCs/>
          <w:i/>
        </w:rPr>
        <w:t xml:space="preserve">Journal of the American Society for Information Science and Technology</w:t>
      </w:r>
      <w:r>
        <w:t xml:space="preserve">, 60(2), 348–362.</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Mongeon, P., &amp; Paul-Hus, A. (2016). The journal coverage of Web of Science and Scopus: A comparative analysis.</w:t>
      </w:r>
      <w:r>
        <w:t xml:space="preserve"> </w:t>
      </w:r>
      <w:r>
        <w:rPr>
          <w:iCs/>
          <w:i/>
        </w:rPr>
        <w:t xml:space="preserve">Scientometrics</w:t>
      </w:r>
      <w:r>
        <w:t xml:space="preserve">, 106(1), 213–228.</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Priem, J., Piwowar, H., &amp; Orr, R. (2022). OpenAlex: A fully-open index of scholarly works, authors, venues, institutions, and concepts.</w:t>
      </w:r>
      <w:r>
        <w:t xml:space="preserve"> </w:t>
      </w:r>
      <w:r>
        <w:rPr>
          <w:iCs/>
          <w:i/>
        </w:rPr>
        <w:t xml:space="preserve">arXiv preprint</w:t>
      </w:r>
      <w:r>
        <w:t xml:space="preserve">, arXiv:2205.01833.</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Stirling, A. (2007). A general framework for analysing diversity in science, technology and society.</w:t>
      </w:r>
      <w:r>
        <w:t xml:space="preserve"> </w:t>
      </w:r>
      <w:r>
        <w:rPr>
          <w:iCs/>
          <w:i/>
        </w:rPr>
        <w:t xml:space="preserve">Journal of the Royal Society Interface</w:t>
      </w:r>
      <w:r>
        <w:t xml:space="preserve">, 4(15), 707–719.</w:t>
      </w:r>
    </w:p>
    <w:p>
      <w:pPr>
        <w:pStyle w:val="BodyText"/>
      </w:pPr>
      <w:r>
        <w:t xml:space="preserve">Traag, V. A., Waltman, L., &amp; van Eck, N. J. (2019). From Louvain to Leiden: Guaranteeing well-connected communities.</w:t>
      </w:r>
      <w:r>
        <w:t xml:space="preserve"> </w:t>
      </w:r>
      <w:r>
        <w:rPr>
          <w:iCs/>
          <w:i/>
        </w:rPr>
        <w:t xml:space="preserve">Scientific Reports</w:t>
      </w:r>
      <w:r>
        <w:t xml:space="preserve">, 9, 5233.</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Waltman, L., van Eck, N. J., &amp; Noyons, E. C. M. (2010). A unified approach to mapping and clustering of bibliometric networks.</w:t>
      </w:r>
      <w:r>
        <w:t xml:space="preserve"> </w:t>
      </w:r>
      <w:r>
        <w:rPr>
          <w:iCs/>
          <w:i/>
        </w:rPr>
        <w:t xml:space="preserve">Journal of Informetrics</w:t>
      </w:r>
      <w:r>
        <w:t xml:space="preserve">, 4(4), 629–635.</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p>
      <w:pPr>
        <w:pStyle w:val="BodyText"/>
      </w:pPr>
      <w:r>
        <w:t xml:space="preserve">Zupic, I., &amp; Čater, T. (2015). Bibliometric methods in management and organization.</w:t>
      </w:r>
      <w:r>
        <w:t xml:space="preserve"> </w:t>
      </w:r>
      <w:r>
        <w:rPr>
          <w:iCs/>
          <w:i/>
        </w:rPr>
        <w:t xml:space="preserve">Organizational Research Methods</w:t>
      </w:r>
      <w:r>
        <w:t xml:space="preserve">, 18(3), 429–472.</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2026-07-25T20:17:16Z</dcterms:created>
  <dcterms:modified xsi:type="dcterms:W3CDTF">2026-07-25T20:17:16Z</dcterms:modified>
</cp:coreProperties>
</file>

<file path=docProps/custom.xml><?xml version="1.0" encoding="utf-8"?>
<Properties xmlns="http://schemas.openxmlformats.org/officeDocument/2006/custom-properties" xmlns:vt="http://schemas.openxmlformats.org/officeDocument/2006/docPropsVTypes"/>
</file>