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5.png" ContentType="image/png"/>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Facultad de Ciencias Económicas, Administrativas y Contables,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Mapping this structure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particularly the Louvain algorithm (Blondel et al., 2008), has become the standard tool for partitioning co-citation and bibliographic-coupling networks into thematic clusters, building on the modularity framework of Newman (2006). A known but under-discussed property of Louvain is its sensitivity to node insertion order in unweighted or naively reconstructed graphs; we document a concrete instance of this problem and its fix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and bibliometrix (Aria &amp; Cuccurullo, 2017) have made single-field science mapping widely accessible, and overlay-mapping approaches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(e.g.,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We contribute a concrete, reproducible protocol — resolving top-PageRank references to real titles via OpenAlex, then prompting a language model for a short name and description — together with the human quality-assurance checks needed to catch a specific failure mode: near-duplicate cluster names produced when a single coherent perspective is spuriously split (Section 3.7).</w:t>
      </w:r>
    </w:p>
    <w:p>
      <w:r>
        <w:pict>
          <v:rect style="width:0;height:1.5pt" o:hralign="center" o:hrstd="t" o:hr="t"/>
        </w:pict>
      </w:r>
    </w:p>
    <w:bookmarkEnd w:id="22"/>
    <w:bookmarkStart w:id="33" w:name="methods"/>
    <w:p>
      <w:pPr>
        <w:pStyle w:val="Heading2"/>
      </w:pPr>
      <w:r>
        <w:t xml:space="preserve">3. Methods</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Web of Science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4"/>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5"/>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2026-07-25T19:55:08Z</dcterms:created>
  <dcterms:modified xsi:type="dcterms:W3CDTF">2026-07-25T19:55:08Z</dcterms:modified>
</cp:coreProperties>
</file>

<file path=docProps/custom.xml><?xml version="1.0" encoding="utf-8"?>
<Properties xmlns="http://schemas.openxmlformats.org/officeDocument/2006/custom-properties" xmlns:vt="http://schemas.openxmlformats.org/officeDocument/2006/docPropsVTypes"/>
</file>