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5.png" ContentType="image/png"/>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rPr>
          <w:bCs/>
          <w:b/>
        </w:rPr>
        <w:t xml:space="preserve">[Author names withheld — to be completed]</w:t>
      </w:r>
    </w:p>
    <w:p>
      <w:pPr>
        <w:pStyle w:val="BodyText"/>
      </w:pPr>
      <w:r>
        <w:rPr>
          <w:bCs/>
          <w:b/>
        </w:rPr>
        <w:t xml:space="preserve">Target venue:</w:t>
      </w:r>
      <w:r>
        <w:t xml:space="preserve"> </w:t>
      </w:r>
      <w:r>
        <w:t xml:space="preserve">Quantitative Science Studies (or Scientometrics / Journal of Informetrics as alternatives)</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Mapping this structure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particularly the Louvain algorithm (Blondel et al., 2008), has become the standard tool for partitioning co-citation and bibliographic-coupling networks into thematic clusters, building on the modularity framework of Newman (2006). A known but under-discussed property of Louvain is its sensitivity to node insertion order in unweighted or naively reconstructed graphs; we document a concrete instance of this problem and its fix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and bibliometrix (Aria &amp; Cuccurullo, 2017) have made single-field science mapping widely accessible, and overlay-mapping approaches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(e.g.,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We contribute a concrete, reproducible protocol — resolving top-PageRank references to real titles via OpenAlex, then prompting a language model for a short name and description — together with the human quality-assurance checks needed to catch a specific failure mode: near-duplicate cluster names produced when a single coherent perspective is spuriously split (Section 3.7).</w:t>
      </w:r>
    </w:p>
    <w:p>
      <w:r>
        <w:pict>
          <v:rect style="width:0;height:1.5pt" o:hralign="center" o:hrstd="t" o:hr="t"/>
        </w:pict>
      </w:r>
    </w:p>
    <w:bookmarkEnd w:id="22"/>
    <w:bookmarkStart w:id="33" w:name="methods"/>
    <w:p>
      <w:pPr>
        <w:pStyle w:val="Heading2"/>
      </w:pPr>
      <w:r>
        <w:t xml:space="preserve">3. Methods</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Web of Science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4"/>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5"/>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2026-07-25T19:43:05Z</dcterms:created>
  <dcterms:modified xsi:type="dcterms:W3CDTF">2026-07-25T19:43:05Z</dcterms:modified>
</cp:coreProperties>
</file>

<file path=docProps/custom.xml><?xml version="1.0" encoding="utf-8"?>
<Properties xmlns="http://schemas.openxmlformats.org/officeDocument/2006/custom-properties" xmlns:vt="http://schemas.openxmlformats.org/officeDocument/2006/docPropsVTypes"/>
</file>