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4.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t xml:space="preserve">Daniel Aristizábal Torres¹* &amp; Ana María Barrera Rodríguez²</w:t>
      </w:r>
    </w:p>
    <w:p>
      <w:pPr>
        <w:pStyle w:val="BodyText"/>
      </w:pPr>
      <w:r>
        <w:t xml:space="preserve">¹ Faculty of Engineering, Universidad Libre Seccional Pereira, Pereira, Colombia</w:t>
      </w:r>
    </w:p>
    <w:p>
      <w:pPr>
        <w:pStyle w:val="BodyText"/>
      </w:pPr>
      <w:r>
        <w:t xml:space="preserve">² Faculty of Economic, Administrative and Accounting Sciences, Universidad Libre Seccional Pereira, Pereira, Colombia</w:t>
      </w:r>
    </w:p>
    <w:p>
      <w:pPr>
        <w:pStyle w:val="BodyText"/>
      </w:pPr>
      <w:r>
        <w:t xml:space="preserve">* Corresponding author: daniel.aristizabalt@unilibre.edu.co</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Citation networks were first shown to reveal this kind of structure by de Solla Price (1965) and Garfield (1972), and mapping it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and the term-based alternative of co-word analysis (Callon et al., 1991). Boyack and Klavans (2010) compared these citation-based approaches directly and found co-citation analysis to most accurately represent a field’s research front, which motivates our choice of it as the present pipeline’s underlying network structure.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 from its origins in Girvan and Newman (2002) through the modularity-optimization framework of Newman (2006), and surveyed comprehensively by Fortunato (2010) — has become the standard tool for partitioning co-citation and bibliographic-coupling networks into thematic clusters, with the Louvain algorithm (Blondel et al., 2008) as its most widely used implementation. A known but under-discussed property of Louvain is its sensitivity to node insertion order in unweighted or naively reconstructed graphs; the successor Leiden algorithm (Traag et al., 2019) was developed specifically to guarantee well-connected communities where Louvain can fail. We document a concrete instance of the node-order problem and a lower-cost fix that preserves determinism without changing algorithms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Waltman et al., 2010), and bibliometrix (Aria &amp; Cuccurullo, 2017) have made single-field science mapping widely accessible — see Cobo et al. (2011) for a comparative review of these and other tools — and overlay-mapping approaches (Leydesdorff &amp; Rafols, 2009;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building on Stirling’s (2007) general framework for analysing diversity and its application to citation patterns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Evidence from the adjacent task of systematic-review screening is mixed: large language models can approach human-level accuracy on some literature-classification tasks but remain unreliable enough that human oversight is still recommended (Khraisha et al., 2024). Consistent with that evidence, we contribute a concrete, reproducible protocol — resolving top-PageRank references to real titles via the OpenAlex API (Priem et al., 2022), then prompting a language model for a short name and description — together with the human quality-assurance checks needed to catch a specific failure mode: near-duplicate cluster names produced when a single coherent perspective is spuriously split (Section 3.7).</w:t>
      </w:r>
    </w:p>
    <w:p>
      <w:pPr>
        <w:pStyle w:val="BodyText"/>
      </w:pPr>
      <w:r>
        <w:rPr>
          <w:bCs/>
          <w:b/>
        </w:rPr>
        <w:t xml:space="preserve">General bibliometric methodology.</w:t>
      </w:r>
      <w:r>
        <w:t xml:space="preserve"> </w:t>
      </w:r>
      <w:r>
        <w:t xml:space="preserve">Beyond citation-network-specific methods, broader guidelines for conducting rigorous bibliometric analyses (Zupic &amp; Čater, 2015; Donthu et al., 2021) emphasize transparent, reproducible protocols over ad hoc application of software tools — a standard the fully scripted, versioned pipeline presented here is designed to meet.</w:t>
      </w:r>
    </w:p>
    <w:p>
      <w:r>
        <w:pict>
          <v:rect style="width:0;height:1.5pt" o:hralign="center" o:hrstd="t" o:hr="t"/>
        </w:pict>
      </w:r>
    </w:p>
    <w:bookmarkEnd w:id="22"/>
    <w:bookmarkStart w:id="33" w:name="methods"/>
    <w:p>
      <w:pPr>
        <w:pStyle w:val="Heading2"/>
      </w:pPr>
      <w:r>
        <w:t xml:space="preserve">3. Methods</w:t>
      </w:r>
    </w:p>
    <w:p>
      <w:pPr>
        <w:pStyle w:val="FirstParagraph"/>
      </w:pPr>
      <w:r>
        <w:t xml:space="preserve">The pipeline proceeds through six stages, from a Web of Science search to the final Index of Perspective Fragmentation, summarized in Figure 1 and detailed in the subsections that follow.</w:t>
      </w:r>
    </w:p>
    <w:p>
      <w:pPr>
        <w:pStyle w:val="CaptionedFigure"/>
      </w:pPr>
      <w:r>
        <w:drawing>
          <wp:inline>
            <wp:extent cx="5334000" cy="1215364"/>
            <wp:effectExtent b="0" l="0" r="0" t="0"/>
            <wp:docPr descr="Methodological pipeline: from Web of Science title search to the Index of Perspective Fragmentation (six stages)."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ImageCaption"/>
      </w:pP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the Web of Science Core Collection — chosen over alternatives such as Scopus for its curated indexing and long-established role in bibliometric research, notwithstanding known differences in journal coverage between databases (Mongeon &amp; Paul-Hus, 2016) —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CaptionedFigure"/>
      </w:pPr>
      <w:r>
        <w:drawing>
          <wp:inline>
            <wp:extent cx="5334000" cy="3593084"/>
            <wp:effectExtent b="0" l="0" r="0" t="0"/>
            <wp:docPr descr="Co-citation network of the RVRP anchor field. Node color denotes Louvain community; node size denotes PageRank centrality; only the top-45 most central nodes per cluster and intra-cluster edges are shown for legibility." title="" id="1" name="Picture"/>
            <a:graphic>
              <a:graphicData uri="http://schemas.openxmlformats.org/drawingml/2006/picture">
                <pic:pic>
                  <pic:nvPicPr>
                    <pic:cNvPr descr="../figuras/red_rvrp.png" id="0" name="Picture"/>
                    <pic:cNvPicPr>
                      <a:picLocks noChangeArrowheads="1" noChangeAspect="1"/>
                    </pic:cNvPicPr>
                  </pic:nvPicPr>
                  <pic:blipFill>
                    <a:blip r:embed="rId34"/>
                    <a:stretch>
                      <a:fillRect/>
                    </a:stretch>
                  </pic:blipFill>
                  <pic:spPr bwMode="auto">
                    <a:xfrm>
                      <a:off x="0" y="0"/>
                      <a:ext cx="5334000" cy="3593084"/>
                    </a:xfrm>
                    <a:prstGeom prst="rect">
                      <a:avLst/>
                    </a:prstGeom>
                    <a:noFill/>
                    <a:ln w="9525">
                      <a:noFill/>
                      <a:headEnd/>
                      <a:tailEnd/>
                    </a:ln>
                  </pic:spPr>
                </pic:pic>
              </a:graphicData>
            </a:graphic>
          </wp:inline>
        </w:drawing>
      </w:r>
    </w:p>
    <w:p>
      <w:pPr>
        <w:pStyle w:val="ImageCaption"/>
      </w:pPr>
      <w:r>
        <w:t xml:space="preserve">Co-citation network of the RVRP anchor field. Node color denotes Louvain community; node size denotes PageRank centrality; only the top-45 most central nodes per cluster and intra-cluster edges are shown for legibility.</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CaptionedFigure"/>
      </w:pPr>
      <w:r>
        <w:drawing>
          <wp:inline>
            <wp:extent cx="5334000" cy="3565708"/>
            <wp:effectExtent b="0" l="0" r="0" t="0"/>
            <wp:docPr descr="Co-citation network of the RVRP literature under the controlled replication (identical 469-article corpus to the anchor study, Topic search)."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5"/>
                    <a:stretch>
                      <a:fillRect/>
                    </a:stretch>
                  </pic:blipFill>
                  <pic:spPr bwMode="auto">
                    <a:xfrm>
                      <a:off x="0" y="0"/>
                      <a:ext cx="5334000" cy="3565708"/>
                    </a:xfrm>
                    <a:prstGeom prst="rect">
                      <a:avLst/>
                    </a:prstGeom>
                    <a:noFill/>
                    <a:ln w="9525">
                      <a:noFill/>
                      <a:headEnd/>
                      <a:tailEnd/>
                    </a:ln>
                  </pic:spPr>
                </pic:pic>
              </a:graphicData>
            </a:graphic>
          </wp:inline>
        </w:drawing>
      </w:r>
    </w:p>
    <w:p>
      <w:pPr>
        <w:pStyle w:val="ImageCaption"/>
      </w:pPr>
      <w:r>
        <w:t xml:space="preserve">Co-citation network of the RVRP literature under the controlled replication (identical 469-article corpus to the anchor study, Topic search).</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FirstParagraph"/>
      </w:pPr>
      <w:r>
        <w:t xml:space="preserve">Figures 4 and 5 illustrate the two structural extremes: the lowest-fragmentation network (Supply Chain Resilience) and the highest-fragmentation network (Sustainable Urban Mobility).</w:t>
      </w:r>
    </w:p>
    <w:p>
      <w:pPr>
        <w:pStyle w:val="CaptionedFigure"/>
      </w:pPr>
      <w:r>
        <w:drawing>
          <wp:inline>
            <wp:extent cx="5334000" cy="3817836"/>
            <wp:effectExtent b="0" l="0" r="0" t="0"/>
            <wp:docPr descr="Co-citation network of Supply Chain Resilience, the field with the lowest observed IFP (0.328)."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ImageCaption"/>
      </w:pPr>
      <w:r>
        <w:t xml:space="preserve">Co-citation network of Supply Chain Resilience, the field with the lowest observed IFP (0.328).</w:t>
      </w:r>
    </w:p>
    <w:p>
      <w:pPr>
        <w:pStyle w:val="CaptionedFigure"/>
      </w:pPr>
      <w:r>
        <w:drawing>
          <wp:inline>
            <wp:extent cx="5334000" cy="3637291"/>
            <wp:effectExtent b="0" l="0" r="0" t="0"/>
            <wp:docPr descr="Co-citation network of Sustainable Urban Mobility, the field with the highest observed IFP (0.640)."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ImageCaption"/>
      </w:pPr>
      <w:r>
        <w:t xml:space="preserve">Co-citation network of Sustainable Urban Mobility, the field with the highest observed IFP (0.640).</w:t>
      </w:r>
    </w:p>
    <w:p>
      <w:pPr>
        <w:pStyle w:val="CaptionedFigure"/>
      </w:pPr>
      <w:r>
        <w:drawing>
          <wp:inline>
            <wp:extent cx="5334000" cy="4441062"/>
            <wp:effectExtent b="0" l="0" r="0" t="0"/>
            <wp:docPr descr="Comparative ranking of IFP across all 20 fields."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ImageCaption"/>
      </w:pP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CaptionedFigure"/>
      </w:pPr>
      <w:r>
        <w:drawing>
          <wp:inline>
            <wp:extent cx="5334000" cy="2513391"/>
            <wp:effectExtent b="0" l="0" r="0" t="0"/>
            <wp:docPr descr="Robustness check: IFP plotted against the number of source articles (left) and the number of nodes in the pruned network (right), across all 20 fields. Dashed lines show ordinary least-squares fits; neither correlation is statistically significant at α = 0.05."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ImageCaption"/>
      </w:pP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kind of consolidation one would expect as a subfield’s publication and citation growth stabilizes over time (Bornmann &amp; Mutz, 2015).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Bornmann, L., &amp; Mutz, R. (2015). Growth rates of modern science: A bibliometric analysis based on the number of publications and cited references.</w:t>
      </w:r>
      <w:r>
        <w:t xml:space="preserve"> </w:t>
      </w:r>
      <w:r>
        <w:rPr>
          <w:iCs/>
          <w:i/>
        </w:rPr>
        <w:t xml:space="preserve">Journal of the Association for Information Science and Technology</w:t>
      </w:r>
      <w:r>
        <w:t xml:space="preserve">, 66(11), 2215–2222.</w:t>
      </w:r>
    </w:p>
    <w:p>
      <w:pPr>
        <w:pStyle w:val="BodyText"/>
      </w:pPr>
      <w:r>
        <w:t xml:space="preserve">Boyack, K. W., &amp; Klavans, R. (2010). Co-citation analysis, bibliographic coupling, and direct citation: Which citation approach represents the research front most accurately?</w:t>
      </w:r>
      <w:r>
        <w:t xml:space="preserve"> </w:t>
      </w:r>
      <w:r>
        <w:rPr>
          <w:iCs/>
          <w:i/>
        </w:rPr>
        <w:t xml:space="preserve">Journal of the American Society for Information Science and Technology</w:t>
      </w:r>
      <w:r>
        <w:t xml:space="preserve">, 61(12), 2389–2404.</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w:t>
      </w:r>
      <w:r>
        <w:t xml:space="preserve">, 22(1), 155–205.</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Cobo, M. J., López-Herrera, A. G., Herrera-Viedma, E., &amp; Herrera, F. (2011). Science mapping software tools: Review, analysis, and cooperative study among tools.</w:t>
      </w:r>
      <w:r>
        <w:t xml:space="preserve"> </w:t>
      </w:r>
      <w:r>
        <w:rPr>
          <w:iCs/>
          <w:i/>
        </w:rPr>
        <w:t xml:space="preserve">Journal of the American Society for Information Science and Technology</w:t>
      </w:r>
      <w:r>
        <w:t xml:space="preserve">, 62(7), 1382–1402.</w:t>
      </w:r>
    </w:p>
    <w:p>
      <w:pPr>
        <w:pStyle w:val="BodyText"/>
      </w:pPr>
      <w:r>
        <w:t xml:space="preserve">de Solla Price, D. J. (1965). Networks of scientific papers.</w:t>
      </w:r>
      <w:r>
        <w:t xml:space="preserve"> </w:t>
      </w:r>
      <w:r>
        <w:rPr>
          <w:iCs/>
          <w:i/>
        </w:rPr>
        <w:t xml:space="preserve">Science</w:t>
      </w:r>
      <w:r>
        <w:t xml:space="preserve">, 149(3683), 510–515.</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w:t>
      </w:r>
      <w:r>
        <w:t xml:space="preserve">, 133, 285–296.</w:t>
      </w:r>
    </w:p>
    <w:p>
      <w:pPr>
        <w:pStyle w:val="BodyText"/>
      </w:pPr>
      <w:r>
        <w:t xml:space="preserve">Fortunato, S. (2010). Community detection in graphs.</w:t>
      </w:r>
      <w:r>
        <w:t xml:space="preserve"> </w:t>
      </w:r>
      <w:r>
        <w:rPr>
          <w:iCs/>
          <w:i/>
        </w:rPr>
        <w:t xml:space="preserve">Physics Reports</w:t>
      </w:r>
      <w:r>
        <w:t xml:space="preserve">, 486(3–5), 75–174.</w:t>
      </w:r>
    </w:p>
    <w:p>
      <w:pPr>
        <w:pStyle w:val="BodyText"/>
      </w:pPr>
      <w:r>
        <w:t xml:space="preserve">Garfield, E. (1972). Citation analysis as a tool in journal evaluation.</w:t>
      </w:r>
      <w:r>
        <w:t xml:space="preserve"> </w:t>
      </w:r>
      <w:r>
        <w:rPr>
          <w:iCs/>
          <w:i/>
        </w:rPr>
        <w:t xml:space="preserve">Science</w:t>
      </w:r>
      <w:r>
        <w:t xml:space="preserve">, 178(4060), 471–479.</w:t>
      </w:r>
    </w:p>
    <w:p>
      <w:pPr>
        <w:pStyle w:val="BodyText"/>
      </w:pPr>
      <w:r>
        <w:t xml:space="preserve">Girvan, M., &amp; Newman, M. E. J. (2002). Community structure in social and biological networks.</w:t>
      </w:r>
      <w:r>
        <w:t xml:space="preserve"> </w:t>
      </w:r>
      <w:r>
        <w:rPr>
          <w:iCs/>
          <w:i/>
        </w:rPr>
        <w:t xml:space="preserve">Proceedings of the National Academy of Sciences</w:t>
      </w:r>
      <w:r>
        <w:t xml:space="preserve">, 99(12), 7821–7826.</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Khraisha, Q., Put, S., Kappenberg, J., Warraitch, A., &amp; Hadfield, K. (2024). Can large language models replace humans in systematic reviews? Evaluating GPT-4’s efficacy in screening and extracting data from peer-reviewed and grey literature in multiple languages.</w:t>
      </w:r>
      <w:r>
        <w:t xml:space="preserve"> </w:t>
      </w:r>
      <w:r>
        <w:rPr>
          <w:iCs/>
          <w:i/>
        </w:rPr>
        <w:t xml:space="preserve">Research Synthesis Methods</w:t>
      </w:r>
      <w:r>
        <w:t xml:space="preserve">, 15(4), 616–626.</w:t>
      </w:r>
    </w:p>
    <w:p>
      <w:pPr>
        <w:pStyle w:val="BodyText"/>
      </w:pPr>
      <w:r>
        <w:t xml:space="preserve">Leydesdorff, L., &amp; Rafols, I. (2009). A global map of science based on the ISI subject categories.</w:t>
      </w:r>
      <w:r>
        <w:t xml:space="preserve"> </w:t>
      </w:r>
      <w:r>
        <w:rPr>
          <w:iCs/>
          <w:i/>
        </w:rPr>
        <w:t xml:space="preserve">Journal of the American Society for Information Science and Technology</w:t>
      </w:r>
      <w:r>
        <w:t xml:space="preserve">, 60(2), 348–362.</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Mongeon, P., &amp; Paul-Hus, A. (2016). The journal coverage of Web of Science and Scopus: A comparative analysis.</w:t>
      </w:r>
      <w:r>
        <w:t xml:space="preserve"> </w:t>
      </w:r>
      <w:r>
        <w:rPr>
          <w:iCs/>
          <w:i/>
        </w:rPr>
        <w:t xml:space="preserve">Scientometrics</w:t>
      </w:r>
      <w:r>
        <w:t xml:space="preserve">, 106(1), 213–228.</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Priem, J., Piwowar, H., &amp; Orr, R. (2022). OpenAlex: A fully-open index of scholarly works, authors, venues, institutions, and concepts.</w:t>
      </w:r>
      <w:r>
        <w:t xml:space="preserve"> </w:t>
      </w:r>
      <w:r>
        <w:rPr>
          <w:iCs/>
          <w:i/>
        </w:rPr>
        <w:t xml:space="preserve">arXiv preprint</w:t>
      </w:r>
      <w:r>
        <w:t xml:space="preserve">, arXiv:2205.01833.</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Stirling, A. (2007). A general framework for analysing diversity in science, technology and society.</w:t>
      </w:r>
      <w:r>
        <w:t xml:space="preserve"> </w:t>
      </w:r>
      <w:r>
        <w:rPr>
          <w:iCs/>
          <w:i/>
        </w:rPr>
        <w:t xml:space="preserve">Journal of the Royal Society Interface</w:t>
      </w:r>
      <w:r>
        <w:t xml:space="preserve">, 4(15), 707–719.</w:t>
      </w:r>
    </w:p>
    <w:p>
      <w:pPr>
        <w:pStyle w:val="BodyText"/>
      </w:pPr>
      <w:r>
        <w:t xml:space="preserve">Traag, V. A., Waltman, L., &amp; van Eck, N. J. (2019). From Louvain to Leiden: Guaranteeing well-connected communities.</w:t>
      </w:r>
      <w:r>
        <w:t xml:space="preserve"> </w:t>
      </w:r>
      <w:r>
        <w:rPr>
          <w:iCs/>
          <w:i/>
        </w:rPr>
        <w:t xml:space="preserve">Scientific Reports</w:t>
      </w:r>
      <w:r>
        <w:t xml:space="preserve">, 9, 5233.</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Waltman, L., van Eck, N. J., &amp; Noyons, E. C. M. (2010). A unified approach to mapping and clustering of bibliometric networks.</w:t>
      </w:r>
      <w:r>
        <w:t xml:space="preserve"> </w:t>
      </w:r>
      <w:r>
        <w:rPr>
          <w:iCs/>
          <w:i/>
        </w:rPr>
        <w:t xml:space="preserve">Journal of Informetrics</w:t>
      </w:r>
      <w:r>
        <w:t xml:space="preserve">, 4(4), 629–635.</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p>
      <w:pPr>
        <w:pStyle w:val="BodyText"/>
      </w:pPr>
      <w:r>
        <w:t xml:space="preserve">Zupic, I., &amp; Čater, T. (2015). Bibliometric methods in management and organization.</w:t>
      </w:r>
      <w:r>
        <w:t xml:space="preserve"> </w:t>
      </w:r>
      <w:r>
        <w:rPr>
          <w:iCs/>
          <w:i/>
        </w:rPr>
        <w:t xml:space="preserve">Organizational Research Methods</w:t>
      </w:r>
      <w:r>
        <w:t xml:space="preserve">, 18(3), 429–472.</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2026-07-25T20:21:16Z</dcterms:created>
  <dcterms:modified xsi:type="dcterms:W3CDTF">2026-07-25T20:21:16Z</dcterms:modified>
</cp:coreProperties>
</file>

<file path=docProps/custom.xml><?xml version="1.0" encoding="utf-8"?>
<Properties xmlns="http://schemas.openxmlformats.org/officeDocument/2006/custom-properties" xmlns:vt="http://schemas.openxmlformats.org/officeDocument/2006/docPropsVTypes"/>
</file>