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ORCID: [author to insert]  ·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Learned Publishing requires an ORCID iD for every author (see Author Guidelines, "ORCID"). Register at orcid.org (2 minutes) and I will drop the ID into the title page and submission form.</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I asked how common this really is, and found the honest answer is hard to get: a search engine cannot tell a fabricated reference apart from a real one it simply cannot find. I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I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I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I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I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I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"I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I built and tested the checker</w:t>
      </w:r>
    </w:p>
    <w:p>
      <w:pPr>
        <w:pStyle w:val="Heading2"/>
      </w:pPr>
      <w:r>
        <w:t>2.1 What I sampled</w:t>
      </w:r>
    </w:p>
    <w:p>
      <w:pPr>
        <w:spacing w:after="140"/>
        <w:jc w:val="both"/>
      </w:pPr>
      <w:r>
        <w:rPr>
          <w:b w:val="0"/>
          <w:i w:val="0"/>
          <w:sz w:val="22"/>
        </w:rPr>
        <w:t>I looked at individual reference strings, not whole articles. I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I am interested in, because a fabricated reference, having nothing real behind it, can never carry a resolved DOI. From roughly 1,200 sampled articles I pulled 5,000 unresolved reference strings, keeping the citing article's DOI as provenance for each one. One caveat up front: journals that deposit open reference lists tend to be the more careful ones, so my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I resolve it directly. If not, I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I decide on a match</w:t>
      </w:r>
    </w:p>
    <w:p>
      <w:pPr>
        <w:spacing w:after="140"/>
        <w:jc w:val="both"/>
      </w:pPr>
      <w:r>
        <w:rPr>
          <w:b w:val="0"/>
          <w:i w:val="0"/>
          <w:sz w:val="22"/>
        </w:rPr>
        <w:t>A match is accepted when enough of a candidate title's significant words (longer than three letters) appear in the reference string, with three safeguards I calibrated on a test set of known-good and known-fake references: short titles (fewer than three significant words) need a near-perfect match plus the first author's surname; if the registered author's surname is missing from the reference, I require a near-perfect title match; and I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I check retraction status two ways in OpenAlex: by DOI, and by title. The second check matters because some publishers register duplicate DOIs for the same paper, and the retraction flag sometimes sits on only one of them. In my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I think other retraction-screening tools likely have the same blind spot.</w:t>
      </w:r>
    </w:p>
    <w:p>
      <w:pPr>
        <w:pStyle w:val="Heading2"/>
      </w:pPr>
      <w:r>
        <w:t>2.5 Checking my own checking</w:t>
      </w:r>
    </w:p>
    <w:p>
      <w:pPr>
        <w:spacing w:after="140"/>
        <w:jc w:val="both"/>
      </w:pPr>
      <w:r>
        <w:rPr>
          <w:b w:val="0"/>
          <w:i w:val="0"/>
          <w:sz w:val="22"/>
        </w:rPr>
        <w:t>For the survivors -- references that made it through all three databases -- I hand-checked every one published from 2020 onward, since that is where LLM-era fabrication, if it exists, would concentrate. I searched each one online and sorted it into: confirmed real (with the venue), unverifiable by design (author-only citation, no title to search), ambiguous (a real-looking journal I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I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I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I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I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I hand-checked every one of the 101 most recent (2020 onward) -- the highest-risk group -- with the results in Table 2: 80.2% turned out to be real, 9.9% were author-only citations with nothing to search on, 9.9% were real-looking journals I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I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I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My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I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I report as an upper bound pending a bigger study (Section 3.5), the checker described in Section 2.7 is something anyone can use today: live, free, and needing nothing more than a browser. I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mine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I found a bug: a rate-limited (HTTP 429) response from OpenAlex was being silently read as a confirmed </w:t>
      </w:r>
      <w:r>
        <w:rPr>
          <w:b w:val="0"/>
          <w:i/>
          <w:sz w:val="22"/>
        </w:rPr>
        <w:t>not retracted</w:t>
      </w:r>
      <w:r>
        <w:rPr>
          <w:b w:val="0"/>
          <w:i w:val="0"/>
          <w:sz w:val="22"/>
        </w:rPr>
        <w:t xml:space="preserve"> result, instead of as a failed check. I fixed it so a failed check now says so plainly -- "retraction status could not be confirmed, verify manually" -- instead of defaulting to a clean verdict. I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my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I can only state an upper bound, not a point estimate; a real estimate needs a much bigger sample.</w:t>
      </w:r>
    </w:p>
    <w:p>
      <w:pPr>
        <w:pStyle w:val="ListBullet"/>
        <w:spacing w:after="80"/>
      </w:pPr>
      <w:r>
        <w:rPr>
          <w:sz w:val="22"/>
        </w:rPr>
        <w:t>No PDF parsing: I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I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 declares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conceptualisation, methodology, software, investigation, data curation,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