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and Ana María Barrera Rodríguez²</w:t>
      </w:r>
    </w:p>
    <w:p>
      <w:pPr>
        <w:spacing w:after="40"/>
        <w:jc w:val="center"/>
      </w:pPr>
      <w:r>
        <w:rPr>
          <w:b w:val="0"/>
          <w:i/>
          <w:color w:val="595959"/>
          <w:sz w:val="18"/>
        </w:rPr>
        <w:t>Both authors contributed equally to this work.</w:t>
      </w:r>
    </w:p>
    <w:p>
      <w:pPr>
        <w:spacing w:after="20"/>
        <w:jc w:val="center"/>
      </w:pPr>
      <w:r>
        <w:rPr>
          <w:b w:val="0"/>
          <w:i/>
          <w:color w:val="595959"/>
          <w:sz w:val="20"/>
        </w:rPr>
        <w:t>¹ Facultad de Ingeniería, Universidad Libre Seccional Pereira, Pereira, Colombia</w:t>
      </w:r>
    </w:p>
    <w:p>
      <w:pPr>
        <w:spacing w:after="40"/>
        <w:jc w:val="center"/>
      </w:pPr>
      <w:r>
        <w:rPr>
          <w:b w:val="0"/>
          <w:i/>
          <w:color w:val="595959"/>
          <w:sz w:val="20"/>
        </w:rPr>
        <w:t>² Facultad de Ciencias Económicas, Administrativas y Contables, Universidad Libre Seccional Pereira, Pereira, Colombia</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4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 v2 (formal register)</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that identify "tortured phrases", synonym-substituted wording used to evade plagiarism detection (</w:t>
      </w:r>
      <w:r>
        <w:rPr>
          <w:b w:val="0"/>
          <w:i w:val="0"/>
          <w:sz w:val="22"/>
        </w:rPr>
        <w:t>Cabanac et al.,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and the Semantic Scholar Academic Graph replaced Microsoft Academic Graph with open, large-scale indexes (</w:t>
      </w:r>
      <w:r>
        <w:rPr>
          <w:b w:val="0"/>
          <w:i w:val="0"/>
          <w:sz w:val="22"/>
        </w:rPr>
        <w:t>Priem et al., 2022</w:t>
      </w:r>
      <w:r>
        <w:rPr>
          <w:b w:val="0"/>
          <w:i w:val="0"/>
          <w:sz w:val="22"/>
        </w:rPr>
        <w:t xml:space="preserve">; </w:t>
      </w:r>
      <w:r>
        <w:rPr>
          <w:b w:val="0"/>
          <w:i w:val="0"/>
          <w:sz w:val="22"/>
        </w:rPr>
        <w:t>Kinney et al., 2023</w:t>
      </w:r>
      <w:r>
        <w:rPr>
          <w:b w:val="0"/>
          <w:i w:val="0"/>
          <w:sz w:val="22"/>
        </w:rPr>
        <w:t>), and the OpenCitations infrastructure has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et al.,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inter-annotator agreement (e.g., Cohen's kappa), from which the cascade's sensitivity and specificity could be derived and used to correct the raw counts in Section 3.5.</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3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2: 80.2% were confirmed to exist, 9.9% were author-only citations unverifiable by design, 9.9% were ambiguous (plausible journals not traceable via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reports an upper bound (zero confirmed in 101), not a point estimate with a confidence interval. A stronger claim would state the Rule-of-Three bound explicitly (0/101 implies a 95% one-sided upper bound of approximately 3% of survivors, or roughly 0.25% of the whole sample) and treat a properly powered, larger-scale prevalence estimate as a follow-up study.</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On the evidence presented here, fabricated references are a substantially smaller problem than unvalidated detection would suggest. What appears to be fabrication in the citation record is overwhelmingly real scholarship rendered invisible by indexing gaps and by citation matching that fails too readily. A credible screening tool, and a credible prevalence estimate, both depend on distinguishing these populations rather than conflating them. This study provides such a tool, an annotated benchmark, and a taxonomy, and identifies a properly powered, larger-scale prevalence estimate as the natural next step.</w:t>
      </w:r>
    </w:p>
    <w:p>
      <w:pPr>
        <w:pStyle w:val="Heading1"/>
      </w:pPr>
      <w:r>
        <w:t>6. Limitations</w:t>
      </w:r>
    </w:p>
    <w:p>
      <w:pPr>
        <w:pStyle w:val="ListBullet"/>
        <w:spacing w:after="80"/>
      </w:pPr>
      <w:r>
        <w:rPr>
          <w:sz w:val="22"/>
        </w:rPr>
        <w:t>Open-reference bias: journals that deposit open reference lists tend to be more procedurally rigorous, so the prevalence figures reported here constitute a lower bound on the wider literature.</w:t>
      </w:r>
    </w:p>
    <w:p>
      <w:pPr>
        <w:pStyle w:val="ListBullet"/>
        <w:spacing w:after="80"/>
      </w:pPr>
      <w:r>
        <w:rPr>
          <w:sz w:val="22"/>
        </w:rPr>
        <w:t>Matching bias: the matcher performs less well on non-Latin-script and author-only citations, inflating the ambiguous class.</w:t>
      </w:r>
    </w:p>
    <w:p>
      <w:pPr>
        <w:pStyle w:val="ListBullet"/>
        <w:spacing w:after="80"/>
      </w:pPr>
      <w:r>
        <w:rPr>
          <w:sz w:val="22"/>
        </w:rPr>
        <w:t>Sample size: with zero fabrications observed, only an upper bound on prevalence can be stated; a point estimate would require a substantially larger sample.</w:t>
      </w:r>
    </w:p>
    <w:p>
      <w:pPr>
        <w:pStyle w:val="ListBullet"/>
        <w:spacing w:after="80"/>
      </w:pPr>
      <w:r>
        <w:rPr>
          <w:sz w:val="22"/>
        </w:rPr>
        <w:t>No full-text parsing: this study relies on deposited reference strings rather than the full text of citing articles.</w:t>
      </w:r>
    </w:p>
    <w:p>
      <w:pPr>
        <w:pStyle w:val="ListBullet"/>
        <w:spacing w:after="80"/>
      </w:pPr>
      <w:r>
        <w:rPr>
          <w:sz w:val="22"/>
        </w:rPr>
        <w:t>Single-annotator verification: a stronger design would add a second, independent annotator and report inter-annotator agreement (see Section 2.5).</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All 21 entries below were verified against Crossref/OpenAlex with this study's own tool before inclusion; none was cited from memory. Author lists are truncated to the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