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Fabricated or just invisible? A four-source verification cascade for estimating the prevalence of hallucinated references in the scholarly literature</w:t>
      </w:r>
    </w:p>
    <w:p>
      <w:pPr>
        <w:spacing w:after="60"/>
        <w:jc w:val="center"/>
      </w:pPr>
      <w:r>
        <w:rPr>
          <w:b w:val="0"/>
          <w:i w:val="0"/>
          <w:sz w:val="24"/>
        </w:rPr>
        <w:t>Daniel Aristizábal Torres¹ and Ana María Barrera Rodríguez²</w:t>
      </w:r>
    </w:p>
    <w:p>
      <w:pPr>
        <w:spacing w:after="40"/>
        <w:jc w:val="center"/>
      </w:pPr>
      <w:r>
        <w:rPr>
          <w:b w:val="0"/>
          <w:i/>
          <w:color w:val="595959"/>
          <w:sz w:val="20"/>
        </w:rPr>
        <w:t>¹ Independent Researcher — Scientometrics and Research Integrity   ·   ² [affiliation to confirm]</w:t>
      </w:r>
    </w:p>
    <w:p>
      <w:pPr>
        <w:spacing w:after="60"/>
        <w:jc w:val="center"/>
      </w:pPr>
      <w:r>
        <w:rPr>
          <w:b w:val="0"/>
          <w:i w:val="0"/>
          <w:color w:val="595959"/>
          <w:sz w:val="18"/>
        </w:rPr>
        <w:t>danielaristo@yahoo.com  ·  [Ana María Barrera Rodríguez's email — to confirm]  ·  ORCID: [both authors to insert]  ·  github.com/danielaristo/reference-integrity-checker</w:t>
      </w:r>
    </w:p>
    <w:p>
      <w:pPr>
        <w:spacing w:after="200"/>
        <w:jc w:val="center"/>
      </w:pPr>
      <w:r>
        <w:rPr>
          <w:b w:val="0"/>
          <w:i/>
          <w:color w:val="A00000"/>
          <w:sz w:val="18"/>
        </w:rPr>
        <w:t>Submission type: Original article · Learned Publishing (Wiley) · Working draft</w:t>
      </w:r>
    </w:p>
    <w:p>
      <w:pPr>
        <w:spacing w:after="140"/>
        <w:ind w:left="216"/>
        <w:shd w:val="clear" w:fill="FFF3CD"/>
        <w:pBdr>
          <w:left w:val="single" w:sz="18" w:space="6" w:color="E0A800"/>
        </w:pBdr>
      </w:pPr>
      <w:r>
        <w:rPr>
          <w:b/>
          <w:color w:val="8A6D00"/>
          <w:sz w:val="18"/>
        </w:rPr>
        <w:t xml:space="preserve">ACTION NEEDED  </w:t>
      </w:r>
      <w:r>
        <w:rPr>
          <w:i/>
          <w:color w:val="6B5900"/>
          <w:sz w:val="18"/>
        </w:rPr>
        <w:t>Learned Publishing requires an ORCID iD for every author (see Author Guidelines, "ORCID"). Both authors should register at orcid.org (2 minutes each) and send the two IDs so they can go on the title page and submission form.</w:t>
      </w:r>
    </w:p>
    <w:p>
      <w:pPr>
        <w:spacing w:after="140"/>
        <w:ind w:left="216"/>
        <w:shd w:val="clear" w:fill="FFF3CD"/>
        <w:pBdr>
          <w:left w:val="single" w:sz="18" w:space="6" w:color="E0A800"/>
        </w:pBdr>
      </w:pPr>
      <w:r>
        <w:rPr>
          <w:b/>
          <w:color w:val="8A6D00"/>
          <w:sz w:val="18"/>
        </w:rPr>
        <w:t xml:space="preserve">ACTION NEEDED  </w:t>
      </w:r>
      <w:r>
        <w:rPr>
          <w:i/>
          <w:color w:val="6B5900"/>
          <w:sz w:val="18"/>
        </w:rPr>
        <w:t>The journal converted to Gold Open Access on 1 January 2025: an Article Publication Charge (APC) applies to every accepted paper submitted from 22 August 2024 onward, unless a waiver applies. Check current APC and waiver eligibility (institutional, funder, or country-based) at the journal's Open Access page before submitting -- this is a real cost decision, not an editorial detail.</w:t>
      </w:r>
    </w:p>
    <w:p>
      <w:pPr>
        <w:spacing w:before="60" w:after="40"/>
        <w:pBdr>
          <w:top w:val="single" w:sz="6" w:space="3" w:color="1F4E79"/>
          <w:bottom w:val="single" w:sz="6" w:space="3" w:color="1F4E79"/>
        </w:pBdr>
      </w:pPr>
      <w:r>
        <w:rPr>
          <w:b/>
          <w:sz w:val="22"/>
        </w:rPr>
        <w:t>Abstract</w:t>
      </w:r>
    </w:p>
    <w:p>
      <w:pPr>
        <w:spacing w:after="140"/>
        <w:jc w:val="both"/>
      </w:pPr>
      <w:r>
        <w:rPr>
          <w:b w:val="0"/>
          <w:i w:val="0"/>
          <w:sz w:val="22"/>
        </w:rPr>
        <w:t>Large language models sometimes invent citations that look real but do not exist. We asked how common this really is, and found the honest answer is hard to get: a search engine cannot tell a fabricated reference apart from a real one it simply cannot find. We built a free tool that checks references against Crossref, OpenAlex, and Semantic Scholar in sequence, then verified the survivors by hand. Applied to 5,000 unresolved reference strings from 2024 journal articles, it recovered 25% as real works the standard matcher had missed and flagged 12% as citing the right work under the wrong year. Of the 517 remaining references that looked like genuine articles but matched nothing, manual checking of the 101 most recent (2020 onward) found zero fabrications: every one was a real paper outside the major indexes, or one whose citation was too mangled to match. Raw "not found" rates dramatically overstate the fabrication problem. We release the checker as a free web tool at reftruth.com so editors and authors can run the same check themselves.</w:t>
      </w:r>
    </w:p>
    <w:p>
      <w:pPr>
        <w:spacing w:after="120"/>
        <w:jc w:val="both"/>
      </w:pPr>
      <w:r>
        <w:rPr>
          <w:b w:val="0"/>
          <w:i/>
          <w:color w:val="595959"/>
          <w:sz w:val="16"/>
        </w:rPr>
        <w:t>[Abstract word count verified: 187 words, under the journal's 200-word limit.]</w:t>
      </w:r>
    </w:p>
    <w:p>
      <w:pPr>
        <w:pStyle w:val="Heading2"/>
      </w:pPr>
      <w:r>
        <w:t>Key points</w:t>
      </w:r>
    </w:p>
    <w:p>
      <w:pPr>
        <w:pStyle w:val="ListBullet"/>
        <w:spacing w:after="80"/>
      </w:pPr>
      <w:r>
        <w:rPr>
          <w:sz w:val="22"/>
        </w:rPr>
        <w:t>A free online tool (reftruth.com) checks whether cited references actually exist, in seconds, with no installation.</w:t>
      </w:r>
    </w:p>
    <w:p>
      <w:pPr>
        <w:pStyle w:val="ListBullet"/>
        <w:spacing w:after="80"/>
      </w:pPr>
      <w:r>
        <w:rPr>
          <w:sz w:val="22"/>
        </w:rPr>
        <w:t>In a 5,000-reference sample, 25% of "unresolved" citations were real papers the standard matcher had simply missed.</w:t>
      </w:r>
    </w:p>
    <w:p>
      <w:pPr>
        <w:pStyle w:val="ListBullet"/>
        <w:spacing w:after="80"/>
      </w:pPr>
      <w:r>
        <w:rPr>
          <w:sz w:val="22"/>
        </w:rPr>
        <w:t>Manual review of the toughest 101 cases found zero fabricated references -- all were real but hard to find.</w:t>
      </w:r>
    </w:p>
    <w:p>
      <w:pPr>
        <w:pStyle w:val="ListBullet"/>
        <w:spacing w:after="80"/>
      </w:pPr>
      <w:r>
        <w:rPr>
          <w:sz w:val="22"/>
        </w:rPr>
        <w:t>"Not found" is not the same as "fake": most flagged citations are real papers outside the major indexes.</w:t>
      </w:r>
    </w:p>
    <w:p>
      <w:pPr>
        <w:pStyle w:val="ListBullet"/>
        <w:spacing w:after="80"/>
      </w:pPr>
      <w:r>
        <w:rPr>
          <w:sz w:val="22"/>
        </w:rPr>
        <w:t>During testing, the tool itself briefly mistook a failed check for a clean result -- a bug worth knowing about.</w:t>
      </w:r>
    </w:p>
    <w:p>
      <w:pPr>
        <w:spacing w:after="200"/>
        <w:jc w:val="both"/>
      </w:pPr>
      <w:r>
        <w:rPr>
          <w:b w:val="0"/>
          <w:i/>
          <w:color w:val="595959"/>
          <w:sz w:val="16"/>
        </w:rPr>
        <w:t>[5 bullets, all under 140 characters (100-115) -- within journal guidance.]</w:t>
      </w:r>
    </w:p>
    <w:p>
      <w:r>
        <w:br w:type="page"/>
      </w:r>
    </w:p>
    <w:p>
      <w:pPr>
        <w:pStyle w:val="Heading1"/>
      </w:pPr>
      <w:r>
        <w:t>1. Introduction</w:t>
      </w:r>
    </w:p>
    <w:p>
      <w:pPr>
        <w:spacing w:after="140"/>
        <w:jc w:val="both"/>
      </w:pPr>
      <w:r>
        <w:rPr>
          <w:b w:val="0"/>
          <w:i w:val="0"/>
          <w:sz w:val="22"/>
        </w:rPr>
        <w:t xml:space="preserve">Large language models make things up. This is well documented (Ji et al., 2023), and it applies to citations as much as to any other output. In a systematic test of ChatGPT-generated reference lists, </w:t>
      </w:r>
      <w:r>
        <w:rPr>
          <w:b w:val="0"/>
          <w:i w:val="0"/>
          <w:sz w:val="22"/>
        </w:rPr>
        <w:t>Walters and Wilder (2023)</w:t>
      </w:r>
      <w:r>
        <w:rPr>
          <w:b w:val="0"/>
          <w:i w:val="0"/>
          <w:sz w:val="22"/>
        </w:rPr>
        <w:t xml:space="preserve"> found that 55% of GPT-3.5 citations and 18% of GPT-4 citations were entirely fabricated. </w:t>
      </w:r>
      <w:r>
        <w:rPr>
          <w:b w:val="0"/>
          <w:i w:val="0"/>
          <w:sz w:val="22"/>
        </w:rPr>
        <w:t>Emsley (2023)</w:t>
      </w:r>
      <w:r>
        <w:rPr>
          <w:b w:val="0"/>
          <w:i w:val="0"/>
          <w:sz w:val="22"/>
        </w:rPr>
        <w:t xml:space="preserve"> argued that "hallucination" is too soft a word for this -- fabrication and falsification is more honest, and we use that framing here. The problem is not limited to one field: </w:t>
      </w:r>
      <w:r>
        <w:rPr>
          <w:b w:val="0"/>
          <w:i w:val="0"/>
          <w:sz w:val="22"/>
        </w:rPr>
        <w:t>Dahl et al. (2024)</w:t>
      </w:r>
      <w:r>
        <w:rPr>
          <w:b w:val="0"/>
          <w:i w:val="0"/>
          <w:sz w:val="22"/>
        </w:rPr>
        <w:t xml:space="preserve"> found comparable rates when LLMs were asked about legal citations, and documented real court filings, by lawyers and at least one judge, that relied on cases which do not exist. Reference fabrication looks like a general property of these models, not a quirk of one discipline or one prompt style. In a neat twist, LLMs are also being tested as tools for catching citation errors, with mixed results (</w:t>
      </w:r>
      <w:r>
        <w:rPr>
          <w:b w:val="0"/>
          <w:i w:val="0"/>
          <w:sz w:val="22"/>
        </w:rPr>
        <w:t>Zhang &amp; Abernethy, 2024</w:t>
      </w:r>
      <w:r>
        <w:rPr>
          <w:b w:val="0"/>
          <w:i w:val="0"/>
          <w:sz w:val="22"/>
        </w:rPr>
        <w:t>). The checker we built takes the opposite approach: no model judgement, just a lookup against real databases.</w:t>
      </w:r>
    </w:p>
    <w:p>
      <w:pPr>
        <w:spacing w:after="140"/>
        <w:jc w:val="both"/>
      </w:pPr>
      <w:r>
        <w:rPr>
          <w:b/>
          <w:i w:val="0"/>
          <w:sz w:val="22"/>
        </w:rPr>
        <w:t>Citation trouble did not start with AI</w:t>
      </w:r>
      <w:r>
        <w:rPr>
          <w:b w:val="0"/>
          <w:i w:val="0"/>
          <w:sz w:val="22"/>
        </w:rPr>
        <w:t>. Long before generative AI, systematic reviews of medical journals found that 10-25% of cited "facts" misrepresented their source (</w:t>
      </w:r>
      <w:r>
        <w:rPr>
          <w:b w:val="0"/>
          <w:i w:val="0"/>
          <w:sz w:val="22"/>
        </w:rPr>
        <w:t>Jergas &amp; Baethge, 2015</w:t>
      </w:r>
      <w:r>
        <w:rPr>
          <w:b w:val="0"/>
          <w:i w:val="0"/>
          <w:sz w:val="22"/>
        </w:rPr>
        <w:t>), and the wider replication crisis (</w:t>
      </w:r>
      <w:r>
        <w:rPr>
          <w:b w:val="0"/>
          <w:i w:val="0"/>
          <w:sz w:val="22"/>
        </w:rPr>
        <w:t>Ioannidis, 2005</w:t>
      </w:r>
      <w:r>
        <w:rPr>
          <w:b w:val="0"/>
          <w:i w:val="0"/>
          <w:sz w:val="22"/>
        </w:rPr>
        <w:t>) had already shown that a large share of published findings cannot be taken at face value. Retractions are rising fast: more than 10,000 papers were retracted in 2023 alone, two and a half times the year before (</w:t>
      </w:r>
      <w:r>
        <w:rPr>
          <w:b w:val="0"/>
          <w:i w:val="0"/>
          <w:sz w:val="22"/>
        </w:rPr>
        <w:t>Van Noorden, 2023</w:t>
      </w:r>
      <w:r>
        <w:rPr>
          <w:b w:val="0"/>
          <w:i w:val="0"/>
          <w:sz w:val="22"/>
        </w:rPr>
        <w:t>), and retracted papers keep getting cited as if nothing happened. Organised fraud has scaled up too: paper mills now churn out fake manuscripts faster than forensic tools built to catch them, including tools that spot "tortured phrases" -- odd synonym-swapped wording used to dodge plagiarism checks (</w:t>
      </w:r>
      <w:r>
        <w:rPr>
          <w:b w:val="0"/>
          <w:i w:val="0"/>
          <w:sz w:val="22"/>
        </w:rPr>
        <w:t>Cabanac et al., 2021</w:t>
      </w:r>
      <w:r>
        <w:rPr>
          <w:b w:val="0"/>
          <w:i w:val="0"/>
          <w:sz w:val="22"/>
        </w:rPr>
        <w:t xml:space="preserve">; </w:t>
      </w:r>
      <w:r>
        <w:rPr>
          <w:b w:val="0"/>
          <w:i w:val="0"/>
          <w:sz w:val="22"/>
        </w:rPr>
        <w:t>Abalkina et al., 2025</w:t>
      </w:r>
      <w:r>
        <w:rPr>
          <w:b w:val="0"/>
          <w:i w:val="0"/>
          <w:sz w:val="22"/>
        </w:rPr>
        <w:t>). Citation counts are gamed too, through coordinated "citation cartels" that inflate metrics with no real scholarly purpose (</w:t>
      </w:r>
      <w:r>
        <w:rPr>
          <w:b w:val="0"/>
          <w:i w:val="0"/>
          <w:sz w:val="22"/>
        </w:rPr>
        <w:t>Kojaku et al., 2021</w:t>
      </w:r>
      <w:r>
        <w:rPr>
          <w:b w:val="0"/>
          <w:i w:val="0"/>
          <w:sz w:val="22"/>
        </w:rPr>
        <w:t>), and the line between a legitimate journal and a predatory one is blurry enough that the field still cannot agree on a definition (</w:t>
      </w:r>
      <w:r>
        <w:rPr>
          <w:b w:val="0"/>
          <w:i w:val="0"/>
          <w:sz w:val="22"/>
        </w:rPr>
        <w:t>Grudniewicz et al., 2019</w:t>
      </w:r>
      <w:r>
        <w:rPr>
          <w:b w:val="0"/>
          <w:i w:val="0"/>
          <w:sz w:val="22"/>
        </w:rPr>
        <w:t>). LLM-generated fabrication, in other words, lands on an already-strained system. It is an accelerant, not a new disease.</w:t>
      </w:r>
    </w:p>
    <w:p>
      <w:pPr>
        <w:spacing w:after="140"/>
        <w:jc w:val="both"/>
      </w:pPr>
      <w:r>
        <w:rPr>
          <w:b/>
          <w:i w:val="0"/>
          <w:sz w:val="22"/>
        </w:rPr>
        <w:t>A checker is only as good as what it checks against</w:t>
      </w:r>
      <w:r>
        <w:rPr>
          <w:b w:val="0"/>
          <w:i w:val="0"/>
          <w:sz w:val="22"/>
        </w:rPr>
        <w:t>, and the major databases have known gaps. OpenAlex (</w:t>
      </w:r>
      <w:r>
        <w:rPr>
          <w:b w:val="0"/>
          <w:i w:val="0"/>
          <w:sz w:val="22"/>
        </w:rPr>
        <w:t>Priem et al., 2022</w:t>
      </w:r>
      <w:r>
        <w:rPr>
          <w:b w:val="0"/>
          <w:i w:val="0"/>
          <w:sz w:val="22"/>
        </w:rPr>
        <w:t>) and Semantic Scholar (</w:t>
      </w:r>
      <w:r>
        <w:rPr>
          <w:b w:val="0"/>
          <w:i w:val="0"/>
          <w:sz w:val="22"/>
        </w:rPr>
        <w:t>Kinney et al., 2023</w:t>
      </w:r>
      <w:r>
        <w:rPr>
          <w:b w:val="0"/>
          <w:i w:val="0"/>
          <w:sz w:val="22"/>
        </w:rPr>
        <w:t>) replaced Microsoft Academic Graph with open, large-scale indexes, and OpenCitations (</w:t>
      </w:r>
      <w:r>
        <w:rPr>
          <w:b w:val="0"/>
          <w:i w:val="0"/>
          <w:sz w:val="22"/>
        </w:rPr>
        <w:t>Peroni &amp; Shotton, 2020</w:t>
      </w:r>
      <w:r>
        <w:rPr>
          <w:b w:val="0"/>
          <w:i w:val="0"/>
          <w:sz w:val="22"/>
        </w:rPr>
        <w:t>) has pushed publishers to release citation links as open data. But large comparisons of these sources find real, systematic coverage differences by field, document type, and year (</w:t>
      </w:r>
      <w:r>
        <w:rPr>
          <w:b w:val="0"/>
          <w:i w:val="0"/>
          <w:sz w:val="22"/>
        </w:rPr>
        <w:t>Visser et al., 2021</w:t>
      </w:r>
      <w:r>
        <w:rPr>
          <w:b w:val="0"/>
          <w:i w:val="0"/>
          <w:sz w:val="22"/>
        </w:rPr>
        <w:t xml:space="preserve">; </w:t>
      </w:r>
      <w:r>
        <w:rPr>
          <w:b w:val="0"/>
          <w:i w:val="0"/>
          <w:sz w:val="22"/>
        </w:rPr>
        <w:t>Martín-Martín et al., 2018</w:t>
      </w:r>
      <w:r>
        <w:rPr>
          <w:b w:val="0"/>
          <w:i w:val="0"/>
          <w:sz w:val="22"/>
        </w:rPr>
        <w:t>). The gaps are not random: journals from outside North America, Europe, and Oceania -- sub-Saharan African journals worst of all -- are indexed at a fraction of the rate of journals from well-covered regions (</w:t>
      </w:r>
      <w:r>
        <w:rPr>
          <w:b w:val="0"/>
          <w:i w:val="0"/>
          <w:sz w:val="22"/>
        </w:rPr>
        <w:t>Asubiaro et al., 2024</w:t>
      </w:r>
      <w:r>
        <w:rPr>
          <w:b w:val="0"/>
          <w:i w:val="0"/>
          <w:sz w:val="22"/>
        </w:rPr>
        <w:t>), and even OpenAlex, despite broader nominal coverage, has measurable reference-linking gaps against Web of Science and Scopus (</w:t>
      </w:r>
      <w:r>
        <w:rPr>
          <w:b w:val="0"/>
          <w:i w:val="0"/>
          <w:sz w:val="22"/>
        </w:rPr>
        <w:t>Culbert et al., 2025</w:t>
      </w:r>
      <w:r>
        <w:rPr>
          <w:b w:val="0"/>
          <w:i w:val="0"/>
          <w:sz w:val="22"/>
        </w:rPr>
        <w:t>). A checker that treats "not in this database" as "does not exist" inherits every one of these gaps -- and because they follow geographic and language lines, it would systematically brand legitimate research from under-represented regions as fake.</w:t>
      </w:r>
    </w:p>
    <w:p>
      <w:pPr>
        <w:spacing w:after="140"/>
        <w:jc w:val="both"/>
      </w:pPr>
      <w:r>
        <w:rPr>
          <w:b/>
          <w:i w:val="0"/>
          <w:sz w:val="22"/>
        </w:rPr>
        <w:t>This is the gap we set out to close</w:t>
      </w:r>
      <w:r>
        <w:rPr>
          <w:b w:val="0"/>
          <w:i w:val="0"/>
          <w:sz w:val="22"/>
        </w:rPr>
        <w:t>. Studies of LLM citation fabrication (</w:t>
      </w:r>
      <w:r>
        <w:rPr>
          <w:b w:val="0"/>
          <w:i w:val="0"/>
          <w:sz w:val="22"/>
        </w:rPr>
        <w:t>Walters &amp; Wilder, 2023</w:t>
      </w:r>
      <w:r>
        <w:rPr>
          <w:b w:val="0"/>
          <w:i w:val="0"/>
          <w:sz w:val="22"/>
        </w:rPr>
        <w:t xml:space="preserve">; </w:t>
      </w:r>
      <w:r>
        <w:rPr>
          <w:b w:val="0"/>
          <w:i w:val="0"/>
          <w:sz w:val="22"/>
        </w:rPr>
        <w:t>Dahl et al., 2024</w:t>
      </w:r>
      <w:r>
        <w:rPr>
          <w:b w:val="0"/>
          <w:i w:val="0"/>
          <w:sz w:val="22"/>
        </w:rPr>
        <w:t>) report prevalence without correcting for database coverage. Fraud-detection tools (</w:t>
      </w:r>
      <w:r>
        <w:rPr>
          <w:b w:val="0"/>
          <w:i w:val="0"/>
          <w:sz w:val="22"/>
        </w:rPr>
        <w:t>Cabanac et al., 2021</w:t>
      </w:r>
      <w:r>
        <w:rPr>
          <w:b w:val="0"/>
          <w:i w:val="0"/>
          <w:sz w:val="22"/>
        </w:rPr>
        <w:t xml:space="preserve">; </w:t>
      </w:r>
      <w:r>
        <w:rPr>
          <w:b w:val="0"/>
          <w:i w:val="0"/>
          <w:sz w:val="22"/>
        </w:rPr>
        <w:t>Abalkina et al., 2025</w:t>
      </w:r>
      <w:r>
        <w:rPr>
          <w:b w:val="0"/>
          <w:i w:val="0"/>
          <w:sz w:val="22"/>
        </w:rPr>
        <w:t>) spot the fingerprints of fake manuscripts but do not check whether individual references resolve to real work. Meanwhile, free bibliometric tools such as VOSviewer (</w:t>
      </w:r>
      <w:r>
        <w:rPr>
          <w:b w:val="0"/>
          <w:i w:val="0"/>
          <w:sz w:val="22"/>
        </w:rPr>
        <w:t>van Eck &amp; Waltman, 2010</w:t>
      </w:r>
      <w:r>
        <w:rPr>
          <w:b w:val="0"/>
          <w:i w:val="0"/>
          <w:sz w:val="22"/>
        </w:rPr>
        <w:t>) and bibliometrix (</w:t>
      </w:r>
      <w:r>
        <w:rPr>
          <w:b w:val="0"/>
          <w:i w:val="0"/>
          <w:sz w:val="22"/>
        </w:rPr>
        <w:t>Aria &amp; Cuccurullo, 2017</w:t>
      </w:r>
      <w:r>
        <w:rPr>
          <w:b w:val="0"/>
          <w:i w:val="0"/>
          <w:sz w:val="22"/>
        </w:rPr>
        <w:t>) show there is real demand for open, practical software in this space. No existing tool combines multi-source reference checking with a taxonomy that tells fabrication apart from "just not indexed" and from citation-matching failure. As far as we know, no study has estimated fabrication rates while correcting for both confounders at once, across disciplines and publishers.</w:t>
      </w:r>
    </w:p>
    <w:p>
      <w:pPr>
        <w:spacing w:after="140"/>
        <w:jc w:val="both"/>
      </w:pPr>
      <w:r>
        <w:rPr>
          <w:b w:val="0"/>
          <w:i w:val="0"/>
          <w:sz w:val="22"/>
        </w:rPr>
        <w:t xml:space="preserve">This paper does three things. </w:t>
      </w:r>
      <w:r>
        <w:rPr>
          <w:b/>
          <w:i w:val="0"/>
          <w:sz w:val="22"/>
        </w:rPr>
        <w:t>First</w:t>
      </w:r>
      <w:r>
        <w:rPr>
          <w:b w:val="0"/>
          <w:i w:val="0"/>
          <w:sz w:val="22"/>
        </w:rPr>
        <w:t xml:space="preserve">, it turns the weak claim "we could not find this reference" into the defensible claim "this reference probably does not exist", by running every unmatched citation through progressively wider databases and a final human check. </w:t>
      </w:r>
      <w:r>
        <w:rPr>
          <w:b/>
          <w:i w:val="0"/>
          <w:sz w:val="22"/>
        </w:rPr>
        <w:t>Second</w:t>
      </w:r>
      <w:r>
        <w:rPr>
          <w:b w:val="0"/>
          <w:i w:val="0"/>
          <w:sz w:val="22"/>
        </w:rPr>
        <w:t xml:space="preserve">, it shows what "unmatched" citations actually turn out to be -- recoverable, wrong-year, real-but-unindexed, or genuinely unexplained -- plus two infrastructure findings that came out of the process: how often standard citation matching fails, and a blind spot in retraction flagging caused by duplicate DOI records. </w:t>
      </w:r>
      <w:r>
        <w:rPr>
          <w:b/>
          <w:i w:val="0"/>
          <w:sz w:val="22"/>
        </w:rPr>
        <w:t>Third</w:t>
      </w:r>
      <w:r>
        <w:rPr>
          <w:b w:val="0"/>
          <w:i w:val="0"/>
          <w:sz w:val="22"/>
        </w:rPr>
        <w:t>, it releases the checker as a free web tool (reftruth.com), plus the annotated data and code, so that editors, authors, and reviewers can run the same check before publication.</w:t>
      </w:r>
    </w:p>
    <w:p>
      <w:pPr>
        <w:pStyle w:val="Heading1"/>
      </w:pPr>
      <w:r>
        <w:t>2. How we built and tested the checker</w:t>
      </w:r>
    </w:p>
    <w:p>
      <w:pPr>
        <w:pStyle w:val="Heading2"/>
      </w:pPr>
      <w:r>
        <w:t>2.1 What we sampled</w:t>
      </w:r>
    </w:p>
    <w:p>
      <w:pPr>
        <w:spacing w:after="140"/>
        <w:jc w:val="both"/>
      </w:pPr>
      <w:r>
        <w:rPr>
          <w:b w:val="0"/>
          <w:i w:val="0"/>
          <w:sz w:val="22"/>
        </w:rPr>
        <w:t>We looked at individual reference strings, not whole articles. We took a random sample of 2024 journal articles from Crossref that had deposited reference lists. At the time of sampling, Crossref held 6,092,408 journal articles from 2024, and 57.2% of them had a reference list attached. Within those lists, about 31% of references are "unresolved": raw text with no linked DOI. That unresolved set is what we are interested in, because a fabricated reference, having nothing real behind it, can never carry a resolved DOI. From roughly 1,200 sampled articles we pulled 5,000 unresolved reference strings, keeping the citing article's DOI as provenance for each one. One caveat up front: journals that deposit open reference lists tend to be the more careful ones, so our numbers should read as a lower bound on the wider literature.</w:t>
      </w:r>
    </w:p>
    <w:p>
      <w:pPr>
        <w:pStyle w:val="Heading2"/>
      </w:pPr>
      <w:r>
        <w:t>2.2 The four-step check</w:t>
      </w:r>
    </w:p>
    <w:p>
      <w:pPr>
        <w:spacing w:after="140"/>
        <w:jc w:val="both"/>
      </w:pPr>
      <w:r>
        <w:rPr>
          <w:b w:val="0"/>
          <w:i w:val="0"/>
          <w:sz w:val="22"/>
        </w:rPr>
        <w:t>Each reference moves through four steps until it resolves or runs out of places to check:</w:t>
      </w:r>
    </w:p>
    <w:p>
      <w:pPr>
        <w:pStyle w:val="ListBullet"/>
        <w:spacing w:after="80"/>
      </w:pPr>
      <w:r>
        <w:rPr>
          <w:sz w:val="22"/>
        </w:rPr>
        <w:t>Step 1 -- Crossref. If the string has a DOI, we resolve it directly. If not, we run a bibliographic search and accept the best title match.</w:t>
      </w:r>
    </w:p>
    <w:p>
      <w:pPr>
        <w:pStyle w:val="ListBullet"/>
        <w:spacing w:after="80"/>
      </w:pPr>
      <w:r>
        <w:rPr>
          <w:sz w:val="22"/>
        </w:rPr>
        <w:t>Step 2 -- OpenAlex. Anything Crossref cannot resolve gets checked against OpenAlex (about 250 million works), which folds in Crossref, PubMed, DataCite, and repository records.</w:t>
      </w:r>
    </w:p>
    <w:p>
      <w:pPr>
        <w:pStyle w:val="ListBullet"/>
        <w:spacing w:after="80"/>
      </w:pPr>
      <w:r>
        <w:rPr>
          <w:sz w:val="22"/>
        </w:rPr>
        <w:t>Step 3 -- Semantic Scholar. References that still look like real articles but remain unmatched go to Semantic Scholar (about 220 million works), which covers a lot of content outside Crossref, including delisted and regional journals.</w:t>
      </w:r>
    </w:p>
    <w:p>
      <w:pPr>
        <w:pStyle w:val="ListBullet"/>
        <w:spacing w:after="80"/>
      </w:pPr>
      <w:r>
        <w:rPr>
          <w:sz w:val="22"/>
        </w:rPr>
        <w:t>Step 4 -- A human. Anything left after three databases gets checked by hand, via a web search, and sorted into: exists, unverifiable by design (no title to match), ambiguous, or fabricated.</w:t>
      </w:r>
    </w:p>
    <w:p>
      <w:pPr>
        <w:pStyle w:val="Heading2"/>
      </w:pPr>
      <w:r>
        <w:t>2.3 How we decide on a match</w:t>
      </w:r>
    </w:p>
    <w:p>
      <w:pPr>
        <w:spacing w:after="140"/>
        <w:jc w:val="both"/>
      </w:pPr>
      <w:r>
        <w:rPr>
          <w:b w:val="0"/>
          <w:i w:val="0"/>
          <w:sz w:val="22"/>
        </w:rPr>
        <w:t>A match is accepted when enough of a candidate title's significant words (longer than three letters) appear in the reference string, with three safeguards we calibrated on a test set of known-good and known-fake references: short titles (fewer than three significant words) need a near-perfect match plus the first author's surname; if the registered author's surname is missing from the reference, we require a near-perfect title match; and we allow the cited year to be off by up to two years, to absorb the gap between a paper's online-first date and its print date.</w:t>
      </w:r>
    </w:p>
    <w:p>
      <w:pPr>
        <w:pStyle w:val="Heading2"/>
      </w:pPr>
      <w:r>
        <w:t>2.4 A blind spot in retraction checks</w:t>
      </w:r>
    </w:p>
    <w:p>
      <w:pPr>
        <w:spacing w:after="140"/>
        <w:jc w:val="both"/>
      </w:pPr>
      <w:r>
        <w:rPr>
          <w:b w:val="0"/>
          <w:i w:val="0"/>
          <w:sz w:val="22"/>
        </w:rPr>
        <w:t xml:space="preserve">We check retraction status two ways in OpenAlex: by DOI, and by title. The second check matters because some publishers register duplicate DOIs for the same paper, and the retraction flag sometimes sits on only one of them. In our test set, the retracted Wakefield et al. (1998) </w:t>
      </w:r>
      <w:r>
        <w:rPr>
          <w:b w:val="0"/>
          <w:i/>
          <w:sz w:val="22"/>
        </w:rPr>
        <w:t>Lancet</w:t>
      </w:r>
      <w:r>
        <w:rPr>
          <w:b w:val="0"/>
          <w:i w:val="0"/>
          <w:sz w:val="22"/>
        </w:rPr>
        <w:t xml:space="preserve"> paper resolved to a DOI variant flagged as </w:t>
      </w:r>
      <w:r>
        <w:rPr>
          <w:b w:val="0"/>
          <w:i/>
          <w:sz w:val="22"/>
        </w:rPr>
        <w:t>not</w:t>
      </w:r>
      <w:r>
        <w:rPr>
          <w:b w:val="0"/>
          <w:i w:val="0"/>
          <w:sz w:val="22"/>
        </w:rPr>
        <w:t xml:space="preserve"> retracted, while its canonical DOI carried the flag correctly. A DOI-only check would miss it. We think other retraction-screening tools likely have the same blind spot.</w:t>
      </w:r>
    </w:p>
    <w:p>
      <w:pPr>
        <w:pStyle w:val="Heading2"/>
      </w:pPr>
      <w:r>
        <w:t>2.5 Checking our own checking</w:t>
      </w:r>
    </w:p>
    <w:p>
      <w:pPr>
        <w:spacing w:after="140"/>
        <w:jc w:val="both"/>
      </w:pPr>
      <w:r>
        <w:rPr>
          <w:b w:val="0"/>
          <w:i w:val="0"/>
          <w:sz w:val="22"/>
        </w:rPr>
        <w:t>For the survivors -- references that made it through all three databases -- we hand-checked every one published from 2020 onward, since that is where LLM-era fabrication, if it exists, would concentrate. We searched each one online and sorted it into: confirmed real (with the venue), unverifiable by design (author-only citation, no title to search), ambiguous (a real-looking journal we could not confirm by web search), or fabricated.</w:t>
      </w:r>
    </w:p>
    <w:p>
      <w:pPr>
        <w:spacing w:after="140"/>
        <w:ind w:left="216"/>
        <w:shd w:val="clear" w:fill="FFF3CD"/>
        <w:pBdr>
          <w:left w:val="single" w:sz="18" w:space="6" w:color="E0A800"/>
        </w:pBdr>
      </w:pPr>
      <w:r>
        <w:rPr>
          <w:b/>
          <w:color w:val="8A6D00"/>
          <w:sz w:val="18"/>
        </w:rPr>
        <w:t xml:space="preserve">LIMITATION TO FLAG  </w:t>
      </w:r>
      <w:r>
        <w:rPr>
          <w:i/>
          <w:color w:val="6B5900"/>
          <w:sz w:val="18"/>
        </w:rPr>
        <w:t>This is single-annotator verification. A stronger version of this study would add a second, independent annotator over a stratified sample of every verdict class and report agreement (e.g., Cohen's kappa) -- flagging this honestly rather than overstating the rigor.</w:t>
      </w:r>
    </w:p>
    <w:p>
      <w:pPr>
        <w:pStyle w:val="Heading2"/>
      </w:pPr>
      <w:r>
        <w:t>2.6 Everything is open</w:t>
      </w:r>
    </w:p>
    <w:p>
      <w:pPr>
        <w:spacing w:after="140"/>
        <w:jc w:val="both"/>
      </w:pPr>
      <w:r>
        <w:rPr>
          <w:b w:val="0"/>
          <w:i w:val="0"/>
          <w:sz w:val="22"/>
        </w:rPr>
        <w:t>All three databases are free, public APIs -- nothing proprietary. The code, the sampled references with provenance, and the hand-checked results are all on GitHub (see Data availability, below).</w:t>
      </w:r>
    </w:p>
    <w:p>
      <w:pPr>
        <w:pStyle w:val="Heading2"/>
      </w:pPr>
      <w:r>
        <w:t>2.7 The free checker at reftruth.com</w:t>
      </w:r>
    </w:p>
    <w:p>
      <w:pPr>
        <w:spacing w:after="140"/>
        <w:jc w:val="both"/>
      </w:pPr>
      <w:r>
        <w:rPr>
          <w:b w:val="0"/>
          <w:i w:val="0"/>
          <w:sz w:val="22"/>
        </w:rPr>
        <w:t xml:space="preserve">Crossref and OpenAlex both allow cross-origin browser requests, so we built steps 1-2 of the check as a page that runs entirely in the visitor's browser: no reference text goes anywhere except to those two databases, and there is nothing to install. Anyone can paste a bibliography at </w:t>
      </w:r>
      <w:r>
        <w:rPr>
          <w:b/>
          <w:i w:val="0"/>
          <w:sz w:val="22"/>
        </w:rPr>
        <w:t>reftruth.com</w:t>
      </w:r>
      <w:r>
        <w:rPr>
          <w:b w:val="0"/>
          <w:i w:val="0"/>
          <w:sz w:val="22"/>
        </w:rPr>
        <w:t xml:space="preserve"> and get a verdict on each reference within seconds, plus a CSV export for the record. Table 3 shows how the tool's four labels map onto the categories from Section 2.5. The full four-database check, including Semantic Scholar and the hand review used for the results below, stays available as open-source command-line code in the same repository, since the Semantic Scholar key cannot safely live inside a public web page.</w:t>
      </w:r>
    </w:p>
    <w:p>
      <w:pPr>
        <w:spacing w:before="120"/>
        <w:jc w:val="center"/>
      </w:pPr>
      <w:r>
        <w:drawing>
          <wp:inline xmlns:a="http://schemas.openxmlformats.org/drawingml/2006/main" xmlns:pic="http://schemas.openxmlformats.org/drawingml/2006/picture">
            <wp:extent cx="5120640" cy="2959106"/>
            <wp:docPr id="1" name="Picture 1"/>
            <wp:cNvGraphicFramePr>
              <a:graphicFrameLocks noChangeAspect="1"/>
            </wp:cNvGraphicFramePr>
            <a:graphic>
              <a:graphicData uri="http://schemas.openxmlformats.org/drawingml/2006/picture">
                <pic:pic>
                  <pic:nvPicPr>
                    <pic:cNvPr id="0" name="captura_app_2.png"/>
                    <pic:cNvPicPr/>
                  </pic:nvPicPr>
                  <pic:blipFill>
                    <a:blip r:embed="rId9"/>
                    <a:stretch>
                      <a:fillRect/>
                    </a:stretch>
                  </pic:blipFill>
                  <pic:spPr>
                    <a:xfrm>
                      <a:off x="0" y="0"/>
                      <a:ext cx="5120640" cy="2959106"/>
                    </a:xfrm>
                    <a:prstGeom prst="rect"/>
                  </pic:spPr>
                </pic:pic>
              </a:graphicData>
            </a:graphic>
          </wp:inline>
        </w:drawing>
      </w:r>
    </w:p>
    <w:p>
      <w:pPr>
        <w:spacing w:after="200"/>
        <w:jc w:val="center"/>
      </w:pPr>
      <w:r>
        <w:rPr>
          <w:i/>
          <w:color w:val="595959"/>
          <w:sz w:val="19"/>
        </w:rPr>
        <w:t>Figure 1. The checker at reftruth.com. Paste references, one per line; checking runs in the browser against Crossref and OpenAlex.</w:t>
      </w:r>
    </w:p>
    <w:p>
      <w:pPr>
        <w:spacing w:after="80"/>
        <w:jc w:val="both"/>
      </w:pPr>
      <w:r>
        <w:rPr>
          <w:b w:val="0"/>
          <w:i/>
          <w:sz w:val="19"/>
        </w:rPr>
        <w:t>Table 3. What the free tool's labels mean.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2880"/>
        <w:gridCol w:w="2880"/>
      </w:tblGrid>
      <w:tr>
        <w:tc>
          <w:tcPr>
            <w:tcW w:type="dxa" w:w="2160"/>
            <w:shd w:val="clear" w:fill="1F4E79"/>
          </w:tcPr>
          <w:p>
            <w:pPr>
              <w:spacing w:after="0"/>
            </w:pPr>
            <w:r/>
            <w:r>
              <w:rPr>
                <w:b/>
                <w:color w:val="FFFFFF"/>
                <w:sz w:val="19"/>
              </w:rPr>
              <w:t>Tool label</w:t>
            </w:r>
          </w:p>
        </w:tc>
        <w:tc>
          <w:tcPr>
            <w:tcW w:type="dxa" w:w="3312"/>
            <w:shd w:val="clear" w:fill="1F4E79"/>
          </w:tcPr>
          <w:p>
            <w:pPr>
              <w:spacing w:after="0"/>
            </w:pPr>
            <w:r/>
            <w:r>
              <w:rPr>
                <w:b/>
                <w:color w:val="FFFFFF"/>
                <w:sz w:val="19"/>
              </w:rPr>
              <w:t>What it means (see 2.5)</w:t>
            </w:r>
          </w:p>
        </w:tc>
        <w:tc>
          <w:tcPr>
            <w:tcW w:type="dxa" w:w="4464"/>
            <w:shd w:val="clear" w:fill="1F4E79"/>
          </w:tcPr>
          <w:p>
            <w:pPr>
              <w:spacing w:after="0"/>
            </w:pPr>
            <w:r/>
            <w:r>
              <w:rPr>
                <w:b/>
                <w:color w:val="FFFFFF"/>
                <w:sz w:val="19"/>
              </w:rPr>
              <w:t>Detail</w:t>
            </w:r>
          </w:p>
        </w:tc>
      </w:tr>
      <w:tr>
        <w:tc>
          <w:tcPr>
            <w:tcW w:type="dxa" w:w="2160"/>
          </w:tcPr>
          <w:p>
            <w:pPr>
              <w:spacing w:after="0"/>
            </w:pPr>
            <w:r/>
            <w:r>
              <w:rPr>
                <w:b w:val="0"/>
                <w:sz w:val="19"/>
              </w:rPr>
              <w:t>Verified</w:t>
            </w:r>
          </w:p>
        </w:tc>
        <w:tc>
          <w:tcPr>
            <w:tcW w:type="dxa" w:w="3312"/>
          </w:tcPr>
          <w:p>
            <w:pPr>
              <w:spacing w:after="0"/>
            </w:pPr>
            <w:r/>
            <w:r>
              <w:rPr>
                <w:b w:val="0"/>
                <w:sz w:val="19"/>
              </w:rPr>
              <w:t>Recoverable / confirmed real</w:t>
            </w:r>
          </w:p>
        </w:tc>
        <w:tc>
          <w:tcPr>
            <w:tcW w:type="dxa" w:w="4464"/>
          </w:tcPr>
          <w:p>
            <w:pPr>
              <w:spacing w:after="0"/>
            </w:pPr>
            <w:r/>
            <w:r>
              <w:rPr>
                <w:b w:val="0"/>
                <w:sz w:val="19"/>
              </w:rPr>
              <w:t>Found in Crossref or OpenAlex with matching details; DOI link shown</w:t>
            </w:r>
          </w:p>
        </w:tc>
      </w:tr>
      <w:tr>
        <w:tc>
          <w:tcPr>
            <w:tcW w:type="dxa" w:w="2160"/>
          </w:tcPr>
          <w:p>
            <w:pPr>
              <w:spacing w:after="0"/>
            </w:pPr>
            <w:r/>
            <w:r>
              <w:rPr>
                <w:b w:val="0"/>
                <w:sz w:val="19"/>
              </w:rPr>
              <w:t>Metadata issue</w:t>
            </w:r>
          </w:p>
        </w:tc>
        <w:tc>
          <w:tcPr>
            <w:tcW w:type="dxa" w:w="3312"/>
          </w:tcPr>
          <w:p>
            <w:pPr>
              <w:spacing w:after="0"/>
            </w:pPr>
            <w:r/>
            <w:r>
              <w:rPr>
                <w:b w:val="0"/>
                <w:sz w:val="19"/>
              </w:rPr>
              <w:t>Wrong year</w:t>
            </w:r>
          </w:p>
        </w:tc>
        <w:tc>
          <w:tcPr>
            <w:tcW w:type="dxa" w:w="4464"/>
          </w:tcPr>
          <w:p>
            <w:pPr>
              <w:spacing w:after="0"/>
            </w:pPr>
            <w:r/>
            <w:r>
              <w:rPr>
                <w:b w:val="0"/>
                <w:sz w:val="19"/>
              </w:rPr>
              <w:t>Found, but the cited year is off from the registered year by more than two</w:t>
            </w:r>
          </w:p>
        </w:tc>
      </w:tr>
      <w:tr>
        <w:tc>
          <w:tcPr>
            <w:tcW w:type="dxa" w:w="2160"/>
          </w:tcPr>
          <w:p>
            <w:pPr>
              <w:spacing w:after="0"/>
            </w:pPr>
            <w:r/>
            <w:r>
              <w:rPr>
                <w:b w:val="0"/>
                <w:sz w:val="19"/>
              </w:rPr>
              <w:t>Retracted</w:t>
            </w:r>
          </w:p>
        </w:tc>
        <w:tc>
          <w:tcPr>
            <w:tcW w:type="dxa" w:w="3312"/>
          </w:tcPr>
          <w:p>
            <w:pPr>
              <w:spacing w:after="0"/>
            </w:pPr>
            <w:r/>
            <w:r>
              <w:rPr>
                <w:b w:val="0"/>
                <w:sz w:val="19"/>
              </w:rPr>
              <w:t>Retracted</w:t>
            </w:r>
          </w:p>
        </w:tc>
        <w:tc>
          <w:tcPr>
            <w:tcW w:type="dxa" w:w="4464"/>
          </w:tcPr>
          <w:p>
            <w:pPr>
              <w:spacing w:after="0"/>
            </w:pPr>
            <w:r/>
            <w:r>
              <w:rPr>
                <w:b w:val="0"/>
                <w:sz w:val="19"/>
              </w:rPr>
              <w:t>OpenAlex flags this work as retracted (checked by DOI and by title)</w:t>
            </w:r>
          </w:p>
        </w:tc>
      </w:tr>
      <w:tr>
        <w:tc>
          <w:tcPr>
            <w:tcW w:type="dxa" w:w="2160"/>
          </w:tcPr>
          <w:p>
            <w:pPr>
              <w:spacing w:after="0"/>
            </w:pPr>
            <w:r/>
            <w:r>
              <w:rPr>
                <w:b w:val="0"/>
                <w:sz w:val="19"/>
              </w:rPr>
              <w:t>Not verifiable</w:t>
            </w:r>
          </w:p>
        </w:tc>
        <w:tc>
          <w:tcPr>
            <w:tcW w:type="dxa" w:w="3312"/>
          </w:tcPr>
          <w:p>
            <w:pPr>
              <w:spacing w:after="0"/>
            </w:pPr>
            <w:r/>
            <w:r>
              <w:rPr>
                <w:b w:val="0"/>
                <w:sz w:val="19"/>
              </w:rPr>
              <w:t>Unindexed / possible fabrication</w:t>
            </w:r>
          </w:p>
        </w:tc>
        <w:tc>
          <w:tcPr>
            <w:tcW w:type="dxa" w:w="4464"/>
          </w:tcPr>
          <w:p>
            <w:pPr>
              <w:spacing w:after="0"/>
            </w:pPr>
            <w:r/>
            <w:r>
              <w:rPr>
                <w:b w:val="0"/>
                <w:sz w:val="19"/>
              </w:rPr>
              <w:t>Not in either database -- a prompt to check by hand, not a verdict</w:t>
            </w:r>
          </w:p>
        </w:tc>
      </w:tr>
    </w:tbl>
    <w:p>
      <w:pPr>
        <w:spacing w:after="80"/>
        <w:jc w:val="both"/>
      </w:pPr>
      <w:r>
        <w:rPr>
          <w:b w:val="0"/>
          <w:i w:val="0"/>
          <w:sz w:val="22"/>
        </w:rPr>
      </w:r>
    </w:p>
    <w:p>
      <w:pPr>
        <w:pStyle w:val="Heading1"/>
      </w:pPr>
      <w:r>
        <w:t>3. What we found</w:t>
      </w:r>
    </w:p>
    <w:p>
      <w:pPr>
        <w:pStyle w:val="Heading2"/>
      </w:pPr>
      <w:r>
        <w:t>3.1 Where 5,000 references ended up</w:t>
      </w:r>
    </w:p>
    <w:p>
      <w:pPr>
        <w:spacing w:after="140"/>
        <w:jc w:val="both"/>
      </w:pPr>
      <w:r>
        <w:rPr>
          <w:b w:val="0"/>
          <w:i w:val="0"/>
          <w:sz w:val="22"/>
        </w:rPr>
        <w:t>Table 1 shows what happened to the 5,000-reference sample. A quarter of the references that Crossref itself had failed to link turned out to be real papers -- the standard matcher had simply missed them. Another eighth cited a real paper under the wrong year. Just under two-thirds were not in either database at all. Of those, 517 (about one in ten of the whole sample) looked like genuine journal articles and went forward for the deeper check; the rest were books, standards, patents, reports, theses, and web pages.</w:t>
      </w:r>
    </w:p>
    <w:p>
      <w:pPr>
        <w:spacing w:after="80"/>
        <w:jc w:val="both"/>
      </w:pPr>
      <w:r>
        <w:rPr>
          <w:b w:val="0"/>
          <w:i/>
          <w:sz w:val="19"/>
        </w:rPr>
        <w:t>Table 1. What happened to 5,000 unresolved references from 2024 papers.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3600"/>
            <w:shd w:val="clear" w:fill="1F4E79"/>
          </w:tcPr>
          <w:p>
            <w:pPr>
              <w:spacing w:after="0"/>
            </w:pPr>
            <w:r/>
            <w:r>
              <w:rPr>
                <w:b/>
                <w:color w:val="FFFFFF"/>
                <w:sz w:val="19"/>
              </w:rPr>
              <w:t>Stage</w:t>
            </w:r>
          </w:p>
        </w:tc>
        <w:tc>
          <w:tcPr>
            <w:tcW w:type="dxa" w:w="1224"/>
            <w:shd w:val="clear" w:fill="1F4E79"/>
          </w:tcPr>
          <w:p>
            <w:pPr>
              <w:spacing w:after="0"/>
            </w:pPr>
            <w:r/>
            <w:r>
              <w:rPr>
                <w:b/>
                <w:color w:val="FFFFFF"/>
                <w:sz w:val="19"/>
              </w:rPr>
              <w:t>n</w:t>
            </w:r>
          </w:p>
        </w:tc>
        <w:tc>
          <w:tcPr>
            <w:tcW w:type="dxa" w:w="1368"/>
            <w:shd w:val="clear" w:fill="1F4E79"/>
          </w:tcPr>
          <w:p>
            <w:pPr>
              <w:spacing w:after="0"/>
            </w:pPr>
            <w:r/>
            <w:r>
              <w:rPr>
                <w:b/>
                <w:color w:val="FFFFFF"/>
                <w:sz w:val="19"/>
              </w:rPr>
              <w:t>% of 5,000</w:t>
            </w:r>
          </w:p>
        </w:tc>
        <w:tc>
          <w:tcPr>
            <w:tcW w:type="dxa" w:w="3024"/>
            <w:shd w:val="clear" w:fill="1F4E79"/>
          </w:tcPr>
          <w:p>
            <w:pPr>
              <w:spacing w:after="0"/>
            </w:pPr>
            <w:r/>
            <w:r>
              <w:rPr>
                <w:b/>
                <w:color w:val="FFFFFF"/>
                <w:sz w:val="19"/>
              </w:rPr>
              <w:t>What it means</w:t>
            </w:r>
          </w:p>
        </w:tc>
      </w:tr>
      <w:tr>
        <w:tc>
          <w:tcPr>
            <w:tcW w:type="dxa" w:w="3600"/>
          </w:tcPr>
          <w:p>
            <w:pPr>
              <w:spacing w:after="0"/>
            </w:pPr>
            <w:r/>
            <w:r>
              <w:rPr>
                <w:b w:val="0"/>
                <w:sz w:val="19"/>
              </w:rPr>
              <w:t>Unresolved reference strings sampled</w:t>
            </w:r>
          </w:p>
        </w:tc>
        <w:tc>
          <w:tcPr>
            <w:tcW w:type="dxa" w:w="1224"/>
          </w:tcPr>
          <w:p>
            <w:pPr>
              <w:spacing w:after="0"/>
            </w:pPr>
            <w:r/>
            <w:r>
              <w:rPr>
                <w:b w:val="0"/>
                <w:sz w:val="19"/>
              </w:rPr>
              <w:t>5,000</w:t>
            </w:r>
          </w:p>
        </w:tc>
        <w:tc>
          <w:tcPr>
            <w:tcW w:type="dxa" w:w="1368"/>
          </w:tcPr>
          <w:p>
            <w:pPr>
              <w:spacing w:after="0"/>
            </w:pPr>
            <w:r/>
            <w:r>
              <w:rPr>
                <w:b w:val="0"/>
                <w:sz w:val="19"/>
              </w:rPr>
              <w:t>100%</w:t>
            </w:r>
          </w:p>
        </w:tc>
        <w:tc>
          <w:tcPr>
            <w:tcW w:type="dxa" w:w="3024"/>
          </w:tcPr>
          <w:p>
            <w:pPr>
              <w:spacing w:after="0"/>
            </w:pPr>
            <w:r/>
            <w:r>
              <w:rPr>
                <w:b w:val="0"/>
                <w:sz w:val="19"/>
              </w:rPr>
              <w:t>Raw text Crossref could not link to a DOI</w:t>
            </w:r>
          </w:p>
        </w:tc>
      </w:tr>
      <w:tr>
        <w:tc>
          <w:tcPr>
            <w:tcW w:type="dxa" w:w="3600"/>
          </w:tcPr>
          <w:p>
            <w:pPr>
              <w:spacing w:after="0"/>
            </w:pPr>
            <w:r/>
            <w:r>
              <w:rPr>
                <w:b w:val="0"/>
                <w:sz w:val="19"/>
              </w:rPr>
              <w:t>→ Verified (rescued by the check)</w:t>
            </w:r>
          </w:p>
        </w:tc>
        <w:tc>
          <w:tcPr>
            <w:tcW w:type="dxa" w:w="1224"/>
          </w:tcPr>
          <w:p>
            <w:pPr>
              <w:spacing w:after="0"/>
            </w:pPr>
            <w:r/>
            <w:r>
              <w:rPr>
                <w:b w:val="0"/>
                <w:sz w:val="19"/>
              </w:rPr>
              <w:t>1,262</w:t>
            </w:r>
          </w:p>
        </w:tc>
        <w:tc>
          <w:tcPr>
            <w:tcW w:type="dxa" w:w="1368"/>
          </w:tcPr>
          <w:p>
            <w:pPr>
              <w:spacing w:after="0"/>
            </w:pPr>
            <w:r/>
            <w:r>
              <w:rPr>
                <w:b w:val="0"/>
                <w:sz w:val="19"/>
              </w:rPr>
              <w:t>25.2%</w:t>
            </w:r>
          </w:p>
        </w:tc>
        <w:tc>
          <w:tcPr>
            <w:tcW w:type="dxa" w:w="3024"/>
          </w:tcPr>
          <w:p>
            <w:pPr>
              <w:spacing w:after="0"/>
            </w:pPr>
            <w:r/>
            <w:r>
              <w:rPr>
                <w:b w:val="0"/>
                <w:sz w:val="19"/>
              </w:rPr>
              <w:t>Real papers the standard matcher missed</w:t>
            </w:r>
          </w:p>
        </w:tc>
      </w:tr>
      <w:tr>
        <w:tc>
          <w:tcPr>
            <w:tcW w:type="dxa" w:w="3600"/>
          </w:tcPr>
          <w:p>
            <w:pPr>
              <w:spacing w:after="0"/>
            </w:pPr>
            <w:r/>
            <w:r>
              <w:rPr>
                <w:b w:val="0"/>
                <w:sz w:val="19"/>
              </w:rPr>
              <w:t>→ Wrong year on file</w:t>
            </w:r>
          </w:p>
        </w:tc>
        <w:tc>
          <w:tcPr>
            <w:tcW w:type="dxa" w:w="1224"/>
          </w:tcPr>
          <w:p>
            <w:pPr>
              <w:spacing w:after="0"/>
            </w:pPr>
            <w:r/>
            <w:r>
              <w:rPr>
                <w:b w:val="0"/>
                <w:sz w:val="19"/>
              </w:rPr>
              <w:t>614</w:t>
            </w:r>
          </w:p>
        </w:tc>
        <w:tc>
          <w:tcPr>
            <w:tcW w:type="dxa" w:w="1368"/>
          </w:tcPr>
          <w:p>
            <w:pPr>
              <w:spacing w:after="0"/>
            </w:pPr>
            <w:r/>
            <w:r>
              <w:rPr>
                <w:b w:val="0"/>
                <w:sz w:val="19"/>
              </w:rPr>
              <w:t>12.3%</w:t>
            </w:r>
          </w:p>
        </w:tc>
        <w:tc>
          <w:tcPr>
            <w:tcW w:type="dxa" w:w="3024"/>
          </w:tcPr>
          <w:p>
            <w:pPr>
              <w:spacing w:after="0"/>
            </w:pPr>
            <w:r/>
            <w:r>
              <w:rPr>
                <w:b w:val="0"/>
                <w:sz w:val="19"/>
              </w:rPr>
              <w:t>Real papers cited under an incorrect year</w:t>
            </w:r>
          </w:p>
        </w:tc>
      </w:tr>
      <w:tr>
        <w:tc>
          <w:tcPr>
            <w:tcW w:type="dxa" w:w="3600"/>
          </w:tcPr>
          <w:p>
            <w:pPr>
              <w:spacing w:after="0"/>
            </w:pPr>
            <w:r/>
            <w:r>
              <w:rPr>
                <w:b w:val="0"/>
                <w:sz w:val="19"/>
              </w:rPr>
              <w:t>→ Not found anywhere</w:t>
            </w:r>
          </w:p>
        </w:tc>
        <w:tc>
          <w:tcPr>
            <w:tcW w:type="dxa" w:w="1224"/>
          </w:tcPr>
          <w:p>
            <w:pPr>
              <w:spacing w:after="0"/>
            </w:pPr>
            <w:r/>
            <w:r>
              <w:rPr>
                <w:b w:val="0"/>
                <w:sz w:val="19"/>
              </w:rPr>
              <w:t>3,124</w:t>
            </w:r>
          </w:p>
        </w:tc>
        <w:tc>
          <w:tcPr>
            <w:tcW w:type="dxa" w:w="1368"/>
          </w:tcPr>
          <w:p>
            <w:pPr>
              <w:spacing w:after="0"/>
            </w:pPr>
            <w:r/>
            <w:r>
              <w:rPr>
                <w:b w:val="0"/>
                <w:sz w:val="19"/>
              </w:rPr>
              <w:t>62.5%</w:t>
            </w:r>
          </w:p>
        </w:tc>
        <w:tc>
          <w:tcPr>
            <w:tcW w:type="dxa" w:w="3024"/>
          </w:tcPr>
          <w:p>
            <w:pPr>
              <w:spacing w:after="0"/>
            </w:pPr>
            <w:r/>
            <w:r>
              <w:rPr>
                <w:b w:val="0"/>
                <w:sz w:val="19"/>
              </w:rPr>
              <w:t>Absent from Crossref and OpenAlex</w:t>
            </w:r>
          </w:p>
        </w:tc>
      </w:tr>
      <w:tr>
        <w:tc>
          <w:tcPr>
            <w:tcW w:type="dxa" w:w="3600"/>
            <w:shd w:val="clear" w:fill="EAF1FA"/>
          </w:tcPr>
          <w:p>
            <w:pPr>
              <w:spacing w:after="0"/>
            </w:pPr>
            <w:r/>
            <w:r>
              <w:rPr>
                <w:b/>
                <w:sz w:val="19"/>
              </w:rPr>
              <w:t xml:space="preserve">    of which, article-shaped</w:t>
            </w:r>
          </w:p>
        </w:tc>
        <w:tc>
          <w:tcPr>
            <w:tcW w:type="dxa" w:w="1224"/>
            <w:shd w:val="clear" w:fill="EAF1FA"/>
          </w:tcPr>
          <w:p>
            <w:pPr>
              <w:spacing w:after="0"/>
            </w:pPr>
            <w:r/>
            <w:r>
              <w:rPr>
                <w:b w:val="0"/>
                <w:sz w:val="19"/>
              </w:rPr>
              <w:t>517</w:t>
            </w:r>
          </w:p>
        </w:tc>
        <w:tc>
          <w:tcPr>
            <w:tcW w:type="dxa" w:w="1368"/>
            <w:shd w:val="clear" w:fill="EAF1FA"/>
          </w:tcPr>
          <w:p>
            <w:pPr>
              <w:spacing w:after="0"/>
            </w:pPr>
            <w:r/>
            <w:r>
              <w:rPr>
                <w:b w:val="0"/>
                <w:sz w:val="19"/>
              </w:rPr>
              <w:t>10.3%</w:t>
            </w:r>
          </w:p>
        </w:tc>
        <w:tc>
          <w:tcPr>
            <w:tcW w:type="dxa" w:w="3024"/>
            <w:shd w:val="clear" w:fill="EAF1FA"/>
          </w:tcPr>
          <w:p>
            <w:pPr>
              <w:spacing w:after="0"/>
            </w:pPr>
            <w:r/>
            <w:r>
              <w:rPr>
                <w:b w:val="0"/>
                <w:sz w:val="19"/>
              </w:rPr>
              <w:t>Looked like a journal article; checked further</w:t>
            </w:r>
          </w:p>
        </w:tc>
      </w:tr>
      <w:tr>
        <w:tc>
          <w:tcPr>
            <w:tcW w:type="dxa" w:w="3600"/>
          </w:tcPr>
          <w:p>
            <w:pPr>
              <w:spacing w:after="0"/>
            </w:pPr>
            <w:r/>
            <w:r>
              <w:rPr>
                <w:b w:val="0"/>
                <w:sz w:val="19"/>
              </w:rPr>
              <w:t>→ Found on Semantic Scholar</w:t>
            </w:r>
          </w:p>
        </w:tc>
        <w:tc>
          <w:tcPr>
            <w:tcW w:type="dxa" w:w="1224"/>
          </w:tcPr>
          <w:p>
            <w:pPr>
              <w:spacing w:after="0"/>
            </w:pPr>
            <w:r/>
            <w:r>
              <w:rPr>
                <w:b w:val="0"/>
                <w:sz w:val="19"/>
              </w:rPr>
              <w:t>96</w:t>
            </w:r>
          </w:p>
        </w:tc>
        <w:tc>
          <w:tcPr>
            <w:tcW w:type="dxa" w:w="1368"/>
          </w:tcPr>
          <w:p>
            <w:pPr>
              <w:spacing w:after="0"/>
            </w:pPr>
            <w:r/>
            <w:r>
              <w:rPr>
                <w:b w:val="0"/>
                <w:sz w:val="19"/>
              </w:rPr>
              <w:t>1.9%</w:t>
            </w:r>
          </w:p>
        </w:tc>
        <w:tc>
          <w:tcPr>
            <w:tcW w:type="dxa" w:w="3024"/>
          </w:tcPr>
          <w:p>
            <w:pPr>
              <w:spacing w:after="0"/>
            </w:pPr>
            <w:r/>
            <w:r>
              <w:rPr>
                <w:b w:val="0"/>
                <w:sz w:val="19"/>
              </w:rPr>
              <w:t>Real papers outside Crossref/OpenAlex</w:t>
            </w:r>
          </w:p>
        </w:tc>
      </w:tr>
      <w:tr>
        <w:tc>
          <w:tcPr>
            <w:tcW w:type="dxa" w:w="3600"/>
            <w:shd w:val="clear" w:fill="EAF1FA"/>
          </w:tcPr>
          <w:p>
            <w:pPr>
              <w:spacing w:after="0"/>
            </w:pPr>
            <w:r/>
            <w:r>
              <w:rPr>
                <w:b/>
                <w:sz w:val="19"/>
              </w:rPr>
              <w:t>→ Survived all three databases</w:t>
            </w:r>
          </w:p>
        </w:tc>
        <w:tc>
          <w:tcPr>
            <w:tcW w:type="dxa" w:w="1224"/>
            <w:shd w:val="clear" w:fill="EAF1FA"/>
          </w:tcPr>
          <w:p>
            <w:pPr>
              <w:spacing w:after="0"/>
            </w:pPr>
            <w:r/>
            <w:r>
              <w:rPr>
                <w:b w:val="0"/>
                <w:sz w:val="19"/>
              </w:rPr>
              <w:t>421</w:t>
            </w:r>
          </w:p>
        </w:tc>
        <w:tc>
          <w:tcPr>
            <w:tcW w:type="dxa" w:w="1368"/>
            <w:shd w:val="clear" w:fill="EAF1FA"/>
          </w:tcPr>
          <w:p>
            <w:pPr>
              <w:spacing w:after="0"/>
            </w:pPr>
            <w:r/>
            <w:r>
              <w:rPr>
                <w:b w:val="0"/>
                <w:sz w:val="19"/>
              </w:rPr>
              <w:t>8.4%</w:t>
            </w:r>
          </w:p>
        </w:tc>
        <w:tc>
          <w:tcPr>
            <w:tcW w:type="dxa" w:w="3024"/>
            <w:shd w:val="clear" w:fill="EAF1FA"/>
          </w:tcPr>
          <w:p>
            <w:pPr>
              <w:spacing w:after="0"/>
            </w:pPr>
            <w:r/>
            <w:r>
              <w:rPr>
                <w:b w:val="0"/>
                <w:sz w:val="19"/>
              </w:rPr>
              <w:t>Candidates for the hand check</w:t>
            </w:r>
          </w:p>
        </w:tc>
      </w:tr>
    </w:tbl>
    <w:p>
      <w:pPr>
        <w:spacing w:after="80"/>
        <w:jc w:val="both"/>
      </w:pPr>
      <w:r>
        <w:rPr>
          <w:b w:val="0"/>
          <w:i w:val="0"/>
          <w:sz w:val="22"/>
        </w:rPr>
      </w:r>
    </w:p>
    <w:p>
      <w:pPr>
        <w:pStyle w:val="Heading2"/>
      </w:pPr>
      <w:r>
        <w:t>3.2 The standard matcher misses more than expected</w:t>
      </w:r>
    </w:p>
    <w:p>
      <w:pPr>
        <w:spacing w:after="140"/>
        <w:jc w:val="both"/>
      </w:pPr>
      <w:r>
        <w:rPr>
          <w:b w:val="0"/>
          <w:i w:val="0"/>
          <w:sz w:val="22"/>
        </w:rPr>
        <w:t>Recovering 25% of "unresolved" references is itself a useful finding: a quarter of the citations Crossref's own data had left dangling turn out to resolve fine with a more forgiving matcher. We found real, findable papers in Nature, Physical Review D, Astroparticle Physics, and American Family Physician among the recovered set -- all indexed, all missed because the citation was abbreviated, led with the title instead of the author, or otherwise mangled.</w:t>
      </w:r>
    </w:p>
    <w:p>
      <w:pPr>
        <w:pStyle w:val="Heading2"/>
      </w:pPr>
      <w:r>
        <w:t>3.3 Careless citing beats outright fabrication, by a wide margin</w:t>
      </w:r>
    </w:p>
    <w:p>
      <w:pPr>
        <w:spacing w:after="140"/>
        <w:jc w:val="both"/>
      </w:pPr>
      <w:r>
        <w:rPr>
          <w:b w:val="0"/>
          <w:i w:val="0"/>
          <w:sz w:val="22"/>
        </w:rPr>
        <w:t>12.3% of unresolved references cite a real paper under a year that is off by more than two. Sloppy citing, in other words, is an order of magnitude more common in this sample than any plausible fabrication rate -- and, as far as we can tell, no one has put a number on this before at this scale.</w:t>
      </w:r>
    </w:p>
    <w:p>
      <w:pPr>
        <w:pStyle w:val="Heading2"/>
      </w:pPr>
      <w:r>
        <w:t>3.4 A lot of real scholarship is simply invisible</w:t>
      </w:r>
    </w:p>
    <w:p>
      <w:pPr>
        <w:spacing w:after="140"/>
        <w:jc w:val="both"/>
      </w:pPr>
      <w:r>
        <w:rPr>
          <w:b w:val="0"/>
          <w:i w:val="0"/>
          <w:sz w:val="22"/>
        </w:rPr>
        <w:t>Of the 517 article-shaped candidates, 96 (18.6%) turned up on Semantic Scholar despite being absent from Crossref and OpenAlex. These are real papers -- some in mainstream venues, some in regional or delisted journals -- that the two biggest databases do not carry. Any checker without this third layer would have wrongly called every one of them fabricated.</w:t>
      </w:r>
    </w:p>
    <w:p>
      <w:pPr>
        <w:pStyle w:val="Heading2"/>
      </w:pPr>
      <w:r>
        <w:t>3.5 Fabrication: an upper bound close to zero</w:t>
      </w:r>
    </w:p>
    <w:p>
      <w:pPr>
        <w:spacing w:after="140"/>
        <w:jc w:val="both"/>
      </w:pPr>
      <w:r>
        <w:rPr>
          <w:b w:val="0"/>
          <w:i w:val="0"/>
          <w:sz w:val="22"/>
        </w:rPr>
        <w:t>421 references (8.4% of the sample) survived all three databases. We hand-checked every one of the 101 most recent (2020 onward) -- the highest-risk group -- with the results in Table 2: 80.2% turned out to be real, 9.9% were author-only citations with nothing to search on, 9.9% were real-looking journals we could not confirm online, and none were confirmed fabricated.</w:t>
      </w:r>
    </w:p>
    <w:p>
      <w:pPr>
        <w:spacing w:after="80"/>
        <w:jc w:val="both"/>
      </w:pPr>
      <w:r>
        <w:rPr>
          <w:b w:val="0"/>
          <w:i/>
          <w:sz w:val="19"/>
        </w:rPr>
        <w:t>Table 2. Hand-checking the 101 most recent (2020+) survivors.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3456"/>
            <w:shd w:val="clear" w:fill="1F4E79"/>
          </w:tcPr>
          <w:p>
            <w:pPr>
              <w:spacing w:after="0"/>
            </w:pPr>
            <w:r/>
            <w:r>
              <w:rPr>
                <w:b/>
                <w:color w:val="FFFFFF"/>
                <w:sz w:val="19"/>
              </w:rPr>
              <w:t>Verdict</w:t>
            </w:r>
          </w:p>
        </w:tc>
        <w:tc>
          <w:tcPr>
            <w:tcW w:type="dxa" w:w="1152"/>
            <w:shd w:val="clear" w:fill="1F4E79"/>
          </w:tcPr>
          <w:p>
            <w:pPr>
              <w:spacing w:after="0"/>
            </w:pPr>
            <w:r/>
            <w:r>
              <w:rPr>
                <w:b/>
                <w:color w:val="FFFFFF"/>
                <w:sz w:val="19"/>
              </w:rPr>
              <w:t>n</w:t>
            </w:r>
          </w:p>
        </w:tc>
        <w:tc>
          <w:tcPr>
            <w:tcW w:type="dxa" w:w="1296"/>
            <w:shd w:val="clear" w:fill="1F4E79"/>
          </w:tcPr>
          <w:p>
            <w:pPr>
              <w:spacing w:after="0"/>
            </w:pPr>
            <w:r/>
            <w:r>
              <w:rPr>
                <w:b/>
                <w:color w:val="FFFFFF"/>
                <w:sz w:val="19"/>
              </w:rPr>
              <w:t>%</w:t>
            </w:r>
          </w:p>
        </w:tc>
        <w:tc>
          <w:tcPr>
            <w:tcW w:type="dxa" w:w="3312"/>
            <w:shd w:val="clear" w:fill="1F4E79"/>
          </w:tcPr>
          <w:p>
            <w:pPr>
              <w:spacing w:after="0"/>
            </w:pPr>
            <w:r/>
            <w:r>
              <w:rPr>
                <w:b/>
                <w:color w:val="FFFFFF"/>
                <w:sz w:val="19"/>
              </w:rPr>
              <w:t>Why it survived three databases</w:t>
            </w:r>
          </w:p>
        </w:tc>
      </w:tr>
      <w:tr>
        <w:tc>
          <w:tcPr>
            <w:tcW w:type="dxa" w:w="3456"/>
          </w:tcPr>
          <w:p>
            <w:pPr>
              <w:spacing w:after="0"/>
            </w:pPr>
            <w:r/>
            <w:r>
              <w:rPr>
                <w:b w:val="0"/>
                <w:sz w:val="19"/>
              </w:rPr>
              <w:t>Confirmed real</w:t>
            </w:r>
          </w:p>
        </w:tc>
        <w:tc>
          <w:tcPr>
            <w:tcW w:type="dxa" w:w="1152"/>
          </w:tcPr>
          <w:p>
            <w:pPr>
              <w:spacing w:after="0"/>
            </w:pPr>
            <w:r/>
            <w:r>
              <w:rPr>
                <w:b w:val="0"/>
                <w:sz w:val="19"/>
              </w:rPr>
              <w:t>81</w:t>
            </w:r>
          </w:p>
        </w:tc>
        <w:tc>
          <w:tcPr>
            <w:tcW w:type="dxa" w:w="1296"/>
          </w:tcPr>
          <w:p>
            <w:pPr>
              <w:spacing w:after="0"/>
            </w:pPr>
            <w:r/>
            <w:r>
              <w:rPr>
                <w:b w:val="0"/>
                <w:sz w:val="19"/>
              </w:rPr>
              <w:t>80.2%</w:t>
            </w:r>
          </w:p>
        </w:tc>
        <w:tc>
          <w:tcPr>
            <w:tcW w:type="dxa" w:w="3312"/>
          </w:tcPr>
          <w:p>
            <w:pPr>
              <w:spacing w:after="0"/>
            </w:pPr>
            <w:r/>
            <w:r>
              <w:rPr>
                <w:b w:val="0"/>
                <w:sz w:val="19"/>
              </w:rPr>
              <w:t>Found online</w:t>
            </w:r>
          </w:p>
        </w:tc>
      </w:tr>
      <w:tr>
        <w:tc>
          <w:tcPr>
            <w:tcW w:type="dxa" w:w="3456"/>
          </w:tcPr>
          <w:p>
            <w:pPr>
              <w:spacing w:after="0"/>
            </w:pPr>
            <w:r/>
            <w:r>
              <w:rPr>
                <w:b w:val="0"/>
                <w:sz w:val="19"/>
              </w:rPr>
              <w:t>Author-only citation</w:t>
            </w:r>
          </w:p>
        </w:tc>
        <w:tc>
          <w:tcPr>
            <w:tcW w:type="dxa" w:w="1152"/>
          </w:tcPr>
          <w:p>
            <w:pPr>
              <w:spacing w:after="0"/>
            </w:pPr>
            <w:r/>
            <w:r>
              <w:rPr>
                <w:b w:val="0"/>
                <w:sz w:val="19"/>
              </w:rPr>
              <w:t>10</w:t>
            </w:r>
          </w:p>
        </w:tc>
        <w:tc>
          <w:tcPr>
            <w:tcW w:type="dxa" w:w="1296"/>
          </w:tcPr>
          <w:p>
            <w:pPr>
              <w:spacing w:after="0"/>
            </w:pPr>
            <w:r/>
            <w:r>
              <w:rPr>
                <w:b w:val="0"/>
                <w:sz w:val="19"/>
              </w:rPr>
              <w:t>9.9%</w:t>
            </w:r>
          </w:p>
        </w:tc>
        <w:tc>
          <w:tcPr>
            <w:tcW w:type="dxa" w:w="3312"/>
          </w:tcPr>
          <w:p>
            <w:pPr>
              <w:spacing w:after="0"/>
            </w:pPr>
            <w:r/>
            <w:r>
              <w:rPr>
                <w:b w:val="0"/>
                <w:sz w:val="19"/>
              </w:rPr>
              <w:t>No title to search on -- unverifiable by design</w:t>
            </w:r>
          </w:p>
        </w:tc>
      </w:tr>
      <w:tr>
        <w:tc>
          <w:tcPr>
            <w:tcW w:type="dxa" w:w="3456"/>
          </w:tcPr>
          <w:p>
            <w:pPr>
              <w:spacing w:after="0"/>
            </w:pPr>
            <w:r/>
            <w:r>
              <w:rPr>
                <w:b w:val="0"/>
                <w:sz w:val="19"/>
              </w:rPr>
              <w:t>Ambiguous</w:t>
            </w:r>
          </w:p>
        </w:tc>
        <w:tc>
          <w:tcPr>
            <w:tcW w:type="dxa" w:w="1152"/>
          </w:tcPr>
          <w:p>
            <w:pPr>
              <w:spacing w:after="0"/>
            </w:pPr>
            <w:r/>
            <w:r>
              <w:rPr>
                <w:b w:val="0"/>
                <w:sz w:val="19"/>
              </w:rPr>
              <w:t>10</w:t>
            </w:r>
          </w:p>
        </w:tc>
        <w:tc>
          <w:tcPr>
            <w:tcW w:type="dxa" w:w="1296"/>
          </w:tcPr>
          <w:p>
            <w:pPr>
              <w:spacing w:after="0"/>
            </w:pPr>
            <w:r/>
            <w:r>
              <w:rPr>
                <w:b w:val="0"/>
                <w:sz w:val="19"/>
              </w:rPr>
              <w:t>9.9%</w:t>
            </w:r>
          </w:p>
        </w:tc>
        <w:tc>
          <w:tcPr>
            <w:tcW w:type="dxa" w:w="3312"/>
          </w:tcPr>
          <w:p>
            <w:pPr>
              <w:spacing w:after="0"/>
            </w:pPr>
            <w:r/>
            <w:r>
              <w:rPr>
                <w:b w:val="0"/>
                <w:sz w:val="19"/>
              </w:rPr>
              <w:t>Real-looking Chinese-language journals we could not confirm</w:t>
            </w:r>
          </w:p>
        </w:tc>
      </w:tr>
      <w:tr>
        <w:tc>
          <w:tcPr>
            <w:tcW w:type="dxa" w:w="3456"/>
            <w:shd w:val="clear" w:fill="FCEBEB"/>
          </w:tcPr>
          <w:p>
            <w:pPr>
              <w:spacing w:after="0"/>
            </w:pPr>
            <w:r/>
            <w:r>
              <w:rPr>
                <w:b/>
                <w:color w:val="8A0000"/>
                <w:sz w:val="19"/>
              </w:rPr>
              <w:t>Confirmed fabricated</w:t>
            </w:r>
          </w:p>
        </w:tc>
        <w:tc>
          <w:tcPr>
            <w:tcW w:type="dxa" w:w="1152"/>
            <w:shd w:val="clear" w:fill="FCEBEB"/>
          </w:tcPr>
          <w:p>
            <w:pPr>
              <w:spacing w:after="0"/>
            </w:pPr>
            <w:r/>
            <w:r>
              <w:rPr>
                <w:b w:val="0"/>
                <w:color w:val="8A0000"/>
                <w:sz w:val="19"/>
              </w:rPr>
              <w:t>0</w:t>
            </w:r>
          </w:p>
        </w:tc>
        <w:tc>
          <w:tcPr>
            <w:tcW w:type="dxa" w:w="1296"/>
            <w:shd w:val="clear" w:fill="FCEBEB"/>
          </w:tcPr>
          <w:p>
            <w:pPr>
              <w:spacing w:after="0"/>
            </w:pPr>
            <w:r/>
            <w:r>
              <w:rPr>
                <w:b w:val="0"/>
                <w:color w:val="8A0000"/>
                <w:sz w:val="19"/>
              </w:rPr>
              <w:t>0.0%</w:t>
            </w:r>
          </w:p>
        </w:tc>
        <w:tc>
          <w:tcPr>
            <w:tcW w:type="dxa" w:w="3312"/>
            <w:shd w:val="clear" w:fill="FCEBEB"/>
          </w:tcPr>
          <w:p>
            <w:pPr>
              <w:spacing w:after="0"/>
            </w:pPr>
            <w:r/>
            <w:r>
              <w:rPr>
                <w:b w:val="0"/>
                <w:color w:val="8A0000"/>
                <w:sz w:val="19"/>
              </w:rPr>
              <w:t>None</w:t>
            </w:r>
          </w:p>
        </w:tc>
      </w:tr>
    </w:tbl>
    <w:p>
      <w:pPr>
        <w:spacing w:after="80"/>
        <w:jc w:val="both"/>
      </w:pPr>
      <w:r>
        <w:rPr>
          <w:b w:val="0"/>
          <w:i w:val="0"/>
          <w:sz w:val="22"/>
        </w:rPr>
      </w:r>
    </w:p>
    <w:p>
      <w:pPr>
        <w:spacing w:after="140"/>
        <w:jc w:val="both"/>
      </w:pPr>
      <w:r>
        <w:rPr>
          <w:b w:val="0"/>
          <w:i w:val="0"/>
          <w:sz w:val="22"/>
        </w:rPr>
        <w:t xml:space="preserve">Most survivors turned out to be real for one of a few reasons: publication in a regional journal (Chinese, Indonesian, Indian, African, Turkish, Korean, and others); a </w:t>
      </w:r>
      <w:r>
        <w:rPr>
          <w:b/>
          <w:i w:val="0"/>
          <w:sz w:val="22"/>
        </w:rPr>
        <w:t>matcher miss</w:t>
      </w:r>
      <w:r>
        <w:rPr>
          <w:b w:val="0"/>
          <w:i w:val="0"/>
          <w:sz w:val="22"/>
        </w:rPr>
        <w:t xml:space="preserve"> -- a real paper, with a DOI in Crossref, whose citation was too mangled or title-first to match; publication in a delisted or predatory venue; or an author-only citation with no title at all. We found no evidence of fabrication in this sample. The true rate here looks close to zero, and almost all of the raw "survivor" count is explained by invisible-but-real scholarship and matching failures, not by made-up references.</w:t>
      </w:r>
    </w:p>
    <w:p>
      <w:pPr>
        <w:pStyle w:val="Heading2"/>
      </w:pPr>
      <w:r>
        <w:t>3.6 No retracted papers slipped through, but the blind spot is real</w:t>
      </w:r>
    </w:p>
    <w:p>
      <w:pPr>
        <w:spacing w:after="140"/>
        <w:jc w:val="both"/>
      </w:pPr>
      <w:r>
        <w:rPr>
          <w:b w:val="0"/>
          <w:i w:val="0"/>
          <w:sz w:val="22"/>
        </w:rPr>
        <w:t>None of the 5,000 sampled references pointed to a retracted paper, which fits given how rare retractions are in absolute terms. The methodological point from Section 2.4 stands on its own, though: a DOI-only retraction check can silently pass a retracted paper that carries a duplicate DOI record.</w:t>
      </w:r>
    </w:p>
    <w:p>
      <w:pPr>
        <w:spacing w:after="140"/>
        <w:ind w:left="216"/>
        <w:shd w:val="clear" w:fill="FFF3CD"/>
        <w:pBdr>
          <w:left w:val="single" w:sz="18" w:space="6" w:color="E0A800"/>
        </w:pBdr>
      </w:pPr>
      <w:r>
        <w:rPr>
          <w:b/>
          <w:color w:val="8A6D00"/>
          <w:sz w:val="18"/>
        </w:rPr>
        <w:t xml:space="preserve">STATISTICAL NOTE  </w:t>
      </w:r>
      <w:r>
        <w:rPr>
          <w:i/>
          <w:color w:val="6B5900"/>
          <w:sz w:val="18"/>
        </w:rPr>
        <w:t>Section 3.5 gives an UPPER BOUND (zero confirmed in 101), not a point estimate with a confidence interval. For a stronger claim: state the Rule-of-Three bound explicitly (0/101 -&gt; 95% one-sided upper bound of about 3% of survivors, roughly 0.25% of the whole sample), and treat a properly powered, larger-scale prevalence estimate as a follow-up study.</w:t>
      </w:r>
    </w:p>
    <w:p>
      <w:pPr>
        <w:pStyle w:val="Heading1"/>
      </w:pPr>
      <w:r>
        <w:t>4. What this means for editors and authors</w:t>
      </w:r>
    </w:p>
    <w:p>
      <w:pPr>
        <w:spacing w:after="140"/>
        <w:jc w:val="both"/>
      </w:pPr>
      <w:r>
        <w:rPr>
          <w:b w:val="0"/>
          <w:i w:val="0"/>
          <w:sz w:val="22"/>
        </w:rPr>
        <w:t>Our main finding reframes the fabricated-citation problem. Across disciplines, genuine fabrication is not just rare -- it is invisible unless you first strip away two things that get confused with it. One is how fragile citation matching still is: abbreviated journal names, title-first citations, and author-only styles defeat automatic checks even for papers in Nature or Physical Review D. The other is how much real scholarship -- regional, non-English, delisted -- never makes it into the big databases at all.</w:t>
      </w:r>
    </w:p>
    <w:p>
      <w:pPr>
        <w:spacing w:after="140"/>
        <w:jc w:val="both"/>
      </w:pPr>
      <w:r>
        <w:rPr>
          <w:b w:val="0"/>
          <w:i w:val="0"/>
          <w:sz w:val="22"/>
        </w:rPr>
        <w:t>This is a warning for the growing market of citation-checking tools: any system that treats "not found" as "fake" will flag far more false positives than real problems, and it will hit scholarship from the Global South and smaller journals hardest. The useful contribution here is not a single prevalence number -- it is a demonstration of why that number cannot be read straight off unvalidated detection, plus a working taxonomy (recoverable, wrong-year, unindexed, mangled, fabricated) that any credible tool needs to implement.</w:t>
      </w:r>
    </w:p>
    <w:p>
      <w:pPr>
        <w:spacing w:after="140"/>
        <w:jc w:val="both"/>
      </w:pPr>
      <w:r>
        <w:rPr>
          <w:b w:val="0"/>
          <w:i w:val="0"/>
          <w:sz w:val="22"/>
        </w:rPr>
        <w:t>We would also add a category that deserves its own name: the mangled citation -- a real paper made unmatchable by extreme abbreviation. Telling it apart from both fabrication and invisibility matters for getting the accounting right.</w:t>
      </w:r>
    </w:p>
    <w:p>
      <w:pPr>
        <w:pStyle w:val="Heading2"/>
      </w:pPr>
      <w:r>
        <w:t>4.1 From finding to practice: a tool people can actually use</w:t>
      </w:r>
    </w:p>
    <w:p>
      <w:pPr>
        <w:spacing w:after="140"/>
        <w:jc w:val="both"/>
      </w:pPr>
      <w:r>
        <w:rPr>
          <w:b w:val="0"/>
          <w:i w:val="0"/>
          <w:sz w:val="22"/>
        </w:rPr>
        <w:t xml:space="preserve">Unlike the fabrication estimate, which we report as an upper bound pending a bigger study (Section 3.5), the checker described in Section 2.7 is something anyone can use today: live, free, and needing nothing more than a browser. We see this as a complement to the research finding, not a side project. A tool that reports a raw </w:t>
      </w:r>
      <w:r>
        <w:rPr>
          <w:b w:val="0"/>
          <w:i/>
          <w:sz w:val="22"/>
        </w:rPr>
        <w:t>not found</w:t>
      </w:r>
      <w:r>
        <w:rPr>
          <w:b w:val="0"/>
          <w:i w:val="0"/>
          <w:sz w:val="22"/>
        </w:rPr>
        <w:t xml:space="preserve"> as a confident verdict repeats, in code, exactly the mistake this paper argues against on paper -- and ours briefly did just that.</w:t>
      </w:r>
    </w:p>
    <w:p>
      <w:pPr>
        <w:spacing w:before="120"/>
        <w:jc w:val="center"/>
      </w:pPr>
      <w:r>
        <w:drawing>
          <wp:inline xmlns:a="http://schemas.openxmlformats.org/drawingml/2006/main" xmlns:pic="http://schemas.openxmlformats.org/drawingml/2006/picture">
            <wp:extent cx="5120640" cy="3917172"/>
            <wp:docPr id="2" name="Picture 2"/>
            <wp:cNvGraphicFramePr>
              <a:graphicFrameLocks noChangeAspect="1"/>
            </wp:cNvGraphicFramePr>
            <a:graphic>
              <a:graphicData uri="http://schemas.openxmlformats.org/drawingml/2006/picture">
                <pic:pic>
                  <pic:nvPicPr>
                    <pic:cNvPr id="0" name="captura_app_1.png"/>
                    <pic:cNvPicPr/>
                  </pic:nvPicPr>
                  <pic:blipFill>
                    <a:blip r:embed="rId10"/>
                    <a:stretch>
                      <a:fillRect/>
                    </a:stretch>
                  </pic:blipFill>
                  <pic:spPr>
                    <a:xfrm>
                      <a:off x="0" y="0"/>
                      <a:ext cx="5120640" cy="3917172"/>
                    </a:xfrm>
                    <a:prstGeom prst="rect"/>
                  </pic:spPr>
                </pic:pic>
              </a:graphicData>
            </a:graphic>
          </wp:inline>
        </w:drawing>
      </w:r>
    </w:p>
    <w:p>
      <w:pPr>
        <w:spacing w:after="200"/>
        <w:jc w:val="center"/>
      </w:pPr>
      <w:r>
        <w:rPr>
          <w:i/>
          <w:color w:val="595959"/>
          <w:sz w:val="19"/>
        </w:rPr>
        <w:t>Figure 2. The checker running on the seven-reference test set from Section 2.3, captured while OpenAlex was rate-limiting requests. Instead of quietly defaulting to a clean result, the tool says plainly that the retraction check could not be confirmed (see the note under the first result).</w:t>
      </w:r>
    </w:p>
    <w:p>
      <w:pPr>
        <w:spacing w:after="140"/>
        <w:jc w:val="both"/>
      </w:pPr>
      <w:r>
        <w:rPr>
          <w:b w:val="0"/>
          <w:i w:val="0"/>
          <w:sz w:val="22"/>
        </w:rPr>
        <w:t xml:space="preserve">While testing the live tool (Figure 2), we found a bug: a rate-limited (HTTP 429) response from OpenAlex was being silently read as a confirmed </w:t>
      </w:r>
      <w:r>
        <w:rPr>
          <w:b w:val="0"/>
          <w:i/>
          <w:sz w:val="22"/>
        </w:rPr>
        <w:t>not retracted</w:t>
      </w:r>
      <w:r>
        <w:rPr>
          <w:b w:val="0"/>
          <w:i w:val="0"/>
          <w:sz w:val="22"/>
        </w:rPr>
        <w:t xml:space="preserve"> result, instead of as a failed check. We fixed it so a failed check now says so plainly -- "retraction status could not be confirmed, verify manually" -- instead of defaulting to a clean verdict. We think this is worth stating as a design rule, not a footnote: a screening tool should fail loudly, never quietly. Catching this under real conditions, not a simulated one, is a small piece of evidence that the taxonomy in this paper holds up in practice, not just on paper.</w:t>
      </w:r>
    </w:p>
    <w:p>
      <w:pPr>
        <w:pStyle w:val="Heading2"/>
      </w:pPr>
      <w:r>
        <w:t>4.2 Limitations</w:t>
      </w:r>
    </w:p>
    <w:p>
      <w:pPr>
        <w:pStyle w:val="ListBullet"/>
        <w:spacing w:after="80"/>
      </w:pPr>
      <w:r>
        <w:rPr>
          <w:sz w:val="22"/>
        </w:rPr>
        <w:t>Open-reference bias: journals that deposit open reference lists tend to be the more careful ones, so our numbers are a lower bound on the wider literature.</w:t>
      </w:r>
    </w:p>
    <w:p>
      <w:pPr>
        <w:pStyle w:val="ListBullet"/>
        <w:spacing w:after="80"/>
      </w:pPr>
      <w:r>
        <w:rPr>
          <w:sz w:val="22"/>
        </w:rPr>
        <w:t>Matching bias: the matcher does worse on non-Latin-script and author-only citations, which inflates the "ambiguous" group.</w:t>
      </w:r>
    </w:p>
    <w:p>
      <w:pPr>
        <w:pStyle w:val="ListBullet"/>
        <w:spacing w:after="80"/>
      </w:pPr>
      <w:r>
        <w:rPr>
          <w:sz w:val="22"/>
        </w:rPr>
        <w:t>Sample size: with zero fabrications observed, we can only state an upper bound, not a point estimate; a real estimate needs a much bigger sample.</w:t>
      </w:r>
    </w:p>
    <w:p>
      <w:pPr>
        <w:pStyle w:val="ListBullet"/>
        <w:spacing w:after="80"/>
      </w:pPr>
      <w:r>
        <w:rPr>
          <w:sz w:val="22"/>
        </w:rPr>
        <w:t>No PDF parsing: we worked from deposited reference strings, not the full text of the citing papers.</w:t>
      </w:r>
    </w:p>
    <w:p>
      <w:pPr>
        <w:pStyle w:val="Heading1"/>
      </w:pPr>
      <w:r>
        <w:t>5. Conclusion</w:t>
      </w:r>
    </w:p>
    <w:p>
      <w:pPr>
        <w:spacing w:after="140"/>
        <w:jc w:val="both"/>
      </w:pPr>
      <w:r>
        <w:rPr>
          <w:b w:val="0"/>
          <w:i w:val="0"/>
          <w:sz w:val="22"/>
        </w:rPr>
        <w:t>On the evidence here, fabricated references are a much smaller problem than raw, unvalidated detection would suggest. What looks like fabrication in a citation list is overwhelmingly real scholarship, hidden by indexing gaps and by citation matching that breaks too easily. A credible checking tool, and a credible prevalence number, both depend on telling these apart rather than lumping them together. We have built that tool, published the taxonomy behind it, and put both online for anyone to use. A properly powered, larger-scale prevalence study is the natural next step.</w:t>
      </w:r>
    </w:p>
    <w:p>
      <w:pPr>
        <w:pStyle w:val="Heading1"/>
      </w:pPr>
      <w:r>
        <w:t>Data availability statement</w:t>
      </w:r>
    </w:p>
    <w:p>
      <w:pPr>
        <w:spacing w:after="140"/>
        <w:jc w:val="both"/>
      </w:pPr>
      <w:r>
        <w:rPr>
          <w:b w:val="0"/>
          <w:i w:val="0"/>
          <w:sz w:val="22"/>
        </w:rPr>
        <w:t xml:space="preserve">The verification code, the 5,000 sampled references with citing-article provenance, the full results, and the 101 hand-checked references are openly available at </w:t>
      </w:r>
      <w:r>
        <w:rPr>
          <w:b/>
          <w:i w:val="0"/>
          <w:sz w:val="22"/>
        </w:rPr>
        <w:t>github.com/danielaristo/reference-integrity-checker</w:t>
      </w:r>
      <w:r>
        <w:rPr>
          <w:b w:val="0"/>
          <w:i w:val="0"/>
          <w:sz w:val="22"/>
        </w:rPr>
        <w:t xml:space="preserve">. A free web tool covering the first two verification steps is available at </w:t>
      </w:r>
      <w:r>
        <w:rPr>
          <w:b/>
          <w:i w:val="0"/>
          <w:sz w:val="22"/>
        </w:rPr>
        <w:t>reftruth.com</w:t>
      </w:r>
      <w:r>
        <w:rPr>
          <w:b w:val="0"/>
          <w:i w:val="0"/>
          <w:sz w:val="22"/>
        </w:rPr>
        <w:t>.</w:t>
      </w:r>
    </w:p>
    <w:p>
      <w:pPr>
        <w:pStyle w:val="Heading1"/>
      </w:pPr>
      <w:r>
        <w:t>Conflict of interest statement</w:t>
      </w:r>
    </w:p>
    <w:p>
      <w:pPr>
        <w:spacing w:after="140"/>
        <w:jc w:val="both"/>
      </w:pPr>
      <w:r>
        <w:rPr>
          <w:b w:val="0"/>
          <w:i w:val="0"/>
          <w:sz w:val="22"/>
        </w:rPr>
        <w:t>The authors declare no conflict of interest.</w:t>
      </w:r>
    </w:p>
    <w:p>
      <w:pPr>
        <w:pStyle w:val="Heading1"/>
      </w:pPr>
      <w:r>
        <w:t>Ethics statement</w:t>
      </w:r>
    </w:p>
    <w:p>
      <w:pPr>
        <w:spacing w:after="140"/>
        <w:jc w:val="both"/>
      </w:pPr>
      <w:r>
        <w:rPr>
          <w:b w:val="0"/>
          <w:i w:val="0"/>
          <w:sz w:val="22"/>
        </w:rPr>
        <w:t>This study analysed publicly available bibliographic metadata (reference strings deposited with Crossref) and did not involve human participants, surveys, or interviews. No ethics approval was required.</w:t>
      </w:r>
    </w:p>
    <w:p>
      <w:pPr>
        <w:pStyle w:val="Heading1"/>
      </w:pPr>
      <w:r>
        <w:t>Contributorship statement</w:t>
      </w:r>
    </w:p>
    <w:p>
      <w:pPr>
        <w:spacing w:after="140"/>
        <w:jc w:val="both"/>
      </w:pPr>
      <w:r>
        <w:rPr>
          <w:b w:val="0"/>
          <w:i w:val="0"/>
          <w:sz w:val="22"/>
        </w:rPr>
        <w:t>D. Aristizábal Torres: conceptualisation, methodology, software, investigation, data curation, writing. A. M. Barrera Rodríguez: [role to confirm -- e.g. validation, writing -- review &amp; editing, supervision].</w:t>
      </w:r>
    </w:p>
    <w:p>
      <w:pPr>
        <w:spacing w:after="140"/>
        <w:ind w:left="216"/>
        <w:shd w:val="clear" w:fill="FFF3CD"/>
        <w:pBdr>
          <w:left w:val="single" w:sz="18" w:space="6" w:color="E0A800"/>
        </w:pBdr>
      </w:pPr>
      <w:r>
        <w:rPr>
          <w:b/>
          <w:color w:val="8A6D00"/>
          <w:sz w:val="18"/>
        </w:rPr>
        <w:t xml:space="preserve">ACTION NEEDED  </w:t>
      </w:r>
      <w:r>
        <w:rPr>
          <w:i/>
          <w:color w:val="6B5900"/>
          <w:sz w:val="18"/>
        </w:rPr>
        <w:t>Confirm Ana María Barrera Rodríguez's specific contribution (CRediT role) so the statement is accurate -- this affects authorship order too, if it should not be Aristizábal Torres first.</w:t>
      </w:r>
    </w:p>
    <w:p>
      <w:pPr>
        <w:pStyle w:val="Heading1"/>
      </w:pPr>
      <w:r>
        <w:t>Funding statement</w:t>
      </w:r>
    </w:p>
    <w:p>
      <w:pPr>
        <w:spacing w:after="140"/>
        <w:jc w:val="both"/>
      </w:pPr>
      <w:r>
        <w:rPr>
          <w:b w:val="0"/>
          <w:i w:val="0"/>
          <w:sz w:val="22"/>
        </w:rPr>
        <w:t>This work received no external funding.</w:t>
      </w:r>
    </w:p>
    <w:p>
      <w:pPr>
        <w:pStyle w:val="Heading1"/>
      </w:pPr>
      <w:r>
        <w:t>References</w:t>
      </w:r>
    </w:p>
    <w:p>
      <w:pPr>
        <w:spacing w:after="160"/>
        <w:jc w:val="both"/>
      </w:pPr>
      <w:r>
        <w:rPr>
          <w:b w:val="0"/>
          <w:i/>
          <w:color w:val="595959"/>
          <w:sz w:val="18"/>
        </w:rPr>
        <w:t>Every entry below was checked against Crossref/OpenAlex with this paper's own tool before inclusion -- none quoted from memory. Author lists shortened to first author plus "et al." beyond four names; full lists are available via the DOI.</w:t>
      </w:r>
    </w:p>
    <w:p>
      <w:pPr>
        <w:spacing w:after="160"/>
        <w:ind w:left="432" w:hanging="432"/>
      </w:pPr>
      <w:r>
        <w:rPr>
          <w:sz w:val="21"/>
        </w:rPr>
        <w:t>Abalkina, A., Aquarius, K., Bik, E.-M., et al. (2025). 'Stamp out paper mills' — science sleuths on how to fight fake research. Nature, 637(8048), 1047–1050. https://doi.org/10.1038/d41586-025-00212-1</w:t>
      </w:r>
    </w:p>
    <w:p>
      <w:pPr>
        <w:spacing w:after="160"/>
        <w:ind w:left="432" w:hanging="432"/>
      </w:pPr>
      <w:r>
        <w:rPr>
          <w:sz w:val="21"/>
        </w:rPr>
        <w:t>Aria, M., &amp; Cuccurullo, C. (2017). bibliometrix: An R-tool for comprehensive science mapping analysis. Journal of Informetrics, 11(4), 959–975. https://doi.org/10.1016/j.joi.2017.08.007</w:t>
      </w:r>
    </w:p>
    <w:p>
      <w:pPr>
        <w:spacing w:after="160"/>
        <w:ind w:left="432" w:hanging="432"/>
      </w:pPr>
      <w:r>
        <w:rPr>
          <w:sz w:val="21"/>
        </w:rPr>
        <w:t>Asubiaro, T., Onaolapo, S., &amp; Mills, D. (2024). Regional disparities in Web of Science and Scopus journal coverage. Scientometrics, 129(3), 1469–1491. https://doi.org/10.1007/s11192-024-04948-x</w:t>
      </w:r>
    </w:p>
    <w:p>
      <w:pPr>
        <w:spacing w:after="160"/>
        <w:ind w:left="432" w:hanging="432"/>
      </w:pPr>
      <w:r>
        <w:rPr>
          <w:sz w:val="21"/>
        </w:rPr>
        <w:t>Cabanac, G., Labbé, C., &amp; Magazinov, A. (2021). Tortured phrases: A dubious writing style emerging in science [Preprint]. arXiv:2107.06751. https://doi.org/10.48550/arXiv.2107.06751</w:t>
      </w:r>
    </w:p>
    <w:p>
      <w:pPr>
        <w:spacing w:after="160"/>
        <w:ind w:left="432" w:hanging="432"/>
      </w:pPr>
      <w:r>
        <w:rPr>
          <w:sz w:val="21"/>
        </w:rPr>
        <w:t>Culbert, J., Hobert, A., &amp; Jahn, N. (2025). Reference coverage analysis of OpenAlex compared to Web of Science and Scopus. Scientometrics, 130(4), 2475–2492. https://doi.org/10.1007/s11192-025-05293-3</w:t>
      </w:r>
    </w:p>
    <w:p>
      <w:pPr>
        <w:spacing w:after="160"/>
        <w:ind w:left="432" w:hanging="432"/>
      </w:pPr>
      <w:r>
        <w:rPr>
          <w:sz w:val="21"/>
        </w:rPr>
        <w:t>Dahl, M., Magesh, V., Suzgun, M., &amp; Ho, D. E. (2024). Large legal fictions: Profiling legal hallucinations in large language models. Journal of Legal Analysis, 16(1), 64–93. https://doi.org/10.1093/jla/laae003</w:t>
      </w:r>
    </w:p>
    <w:p>
      <w:pPr>
        <w:spacing w:after="160"/>
        <w:ind w:left="432" w:hanging="432"/>
      </w:pPr>
      <w:r>
        <w:rPr>
          <w:sz w:val="21"/>
        </w:rPr>
        <w:t>Emsley, R. (2023). ChatGPT: These are not hallucinations – they're fabrications and falsifications. Schizophrenia, 9, 52. https://doi.org/10.1038/s41537-023-00379-4</w:t>
      </w:r>
    </w:p>
    <w:p>
      <w:pPr>
        <w:spacing w:after="160"/>
        <w:ind w:left="432" w:hanging="432"/>
      </w:pPr>
      <w:r>
        <w:rPr>
          <w:sz w:val="21"/>
        </w:rPr>
        <w:t>Grudniewicz, A., Moher, D., Cobey, K. D., et al. (2019). Predatory journals: No definition, no defence. Nature, 576(7786), 210–212. https://doi.org/10.1038/d41586-019-03759-y</w:t>
      </w:r>
    </w:p>
    <w:p>
      <w:pPr>
        <w:spacing w:after="160"/>
        <w:ind w:left="432" w:hanging="432"/>
      </w:pPr>
      <w:r>
        <w:rPr>
          <w:sz w:val="21"/>
        </w:rPr>
        <w:t>Ioannidis, J. P. A. (2005). Why most published research findings are false. PLoS Medicine, 2(8), e124. https://doi.org/10.1371/journal.pmed.0020124</w:t>
      </w:r>
    </w:p>
    <w:p>
      <w:pPr>
        <w:spacing w:after="160"/>
        <w:ind w:left="432" w:hanging="432"/>
      </w:pPr>
      <w:r>
        <w:rPr>
          <w:sz w:val="21"/>
        </w:rPr>
        <w:t>Jergas, H., &amp; Baethge, C. (2015). Quotation accuracy in medical journal articles — a systematic review and meta-analysis. PeerJ, 3, e1364. https://doi.org/10.7717/peerj.1364</w:t>
      </w:r>
    </w:p>
    <w:p>
      <w:pPr>
        <w:spacing w:after="160"/>
        <w:ind w:left="432" w:hanging="432"/>
      </w:pPr>
      <w:r>
        <w:rPr>
          <w:sz w:val="21"/>
        </w:rPr>
        <w:t>Ji, Z., Lee, N., Frieske, R., et al. (2023). Survey of hallucination in natural language generation. ACM Computing Surveys, 55(12), 1–38. https://doi.org/10.1145/3571730</w:t>
      </w:r>
    </w:p>
    <w:p>
      <w:pPr>
        <w:spacing w:after="160"/>
        <w:ind w:left="432" w:hanging="432"/>
      </w:pPr>
      <w:r>
        <w:rPr>
          <w:sz w:val="21"/>
        </w:rPr>
        <w:t>Kinney, R., Anastasiades, C., Authur, R., et al. (2023). The Semantic Scholar Open Data Platform [Preprint]. arXiv:2301.10140. https://doi.org/10.48550/arXiv.2301.10140</w:t>
      </w:r>
    </w:p>
    <w:p>
      <w:pPr>
        <w:spacing w:after="160"/>
        <w:ind w:left="432" w:hanging="432"/>
      </w:pPr>
      <w:r>
        <w:rPr>
          <w:sz w:val="21"/>
        </w:rPr>
        <w:t>Kojaku, S., Livan, G., &amp; Masuda, N. (2021). Detecting anomalous citation groups in journal networks. Scientific Reports, 11, 14524. https://doi.org/10.1038/s41598-021-93572-3</w:t>
      </w:r>
    </w:p>
    <w:p>
      <w:pPr>
        <w:spacing w:after="160"/>
        <w:ind w:left="432" w:hanging="432"/>
      </w:pPr>
      <w:r>
        <w:rPr>
          <w:sz w:val="21"/>
        </w:rPr>
        <w:t>Martín-Martín, A., Orduna-Malea, E., &amp; Thelwall, M. (2018). Google Scholar, Web of Science, and Scopus: A systematic comparison of citations in 252 subject categories. Journal of Informetrics, 12(4), 1160–1177. https://doi.org/10.1016/j.joi.2018.09.002</w:t>
      </w:r>
    </w:p>
    <w:p>
      <w:pPr>
        <w:spacing w:after="160"/>
        <w:ind w:left="432" w:hanging="432"/>
      </w:pPr>
      <w:r>
        <w:rPr>
          <w:sz w:val="21"/>
        </w:rPr>
        <w:t>Peroni, S., &amp; Shotton, D. (2020). OpenCitations, an infrastructure organization for open scholarship. Quantitative Science Studies, 1(1), 428–444. https://doi.org/10.1162/qss_a_00023</w:t>
      </w:r>
    </w:p>
    <w:p>
      <w:pPr>
        <w:spacing w:after="160"/>
        <w:ind w:left="432" w:hanging="432"/>
      </w:pPr>
      <w:r>
        <w:rPr>
          <w:sz w:val="21"/>
        </w:rPr>
        <w:t>Priem, J., Piwowar, H., &amp; Orr, R. (2022). OpenAlex: A fully-open index of scholarly works, authors, venues, institutions, and concepts [Preprint]. arXiv:2205.01833. https://doi.org/10.48550/arXiv.2205.01833</w:t>
      </w:r>
    </w:p>
    <w:p>
      <w:pPr>
        <w:spacing w:after="160"/>
        <w:ind w:left="432" w:hanging="432"/>
      </w:pPr>
      <w:r>
        <w:rPr>
          <w:sz w:val="21"/>
        </w:rPr>
        <w:t>Van Noorden, R. (2023). More than 10,000 research papers were retracted in 2023 — a new record. Nature, 624(7992), 479–481. https://doi.org/10.1038/d41586-023-03974-8</w:t>
      </w:r>
    </w:p>
    <w:p>
      <w:pPr>
        <w:spacing w:after="160"/>
        <w:ind w:left="432" w:hanging="432"/>
      </w:pPr>
      <w:r>
        <w:rPr>
          <w:sz w:val="21"/>
        </w:rPr>
        <w:t>van Eck, N. J., &amp; Waltman, L. (2010). Software survey: VOSviewer, a computer program for bibliometric mapping. Scientometrics, 84(2), 523–538. https://doi.org/10.1007/s11192-009-0146-3</w:t>
      </w:r>
    </w:p>
    <w:p>
      <w:pPr>
        <w:spacing w:after="160"/>
        <w:ind w:left="432" w:hanging="432"/>
      </w:pPr>
      <w:r>
        <w:rPr>
          <w:sz w:val="21"/>
        </w:rPr>
        <w:t>Visser, M., van Eck, N. J., &amp; Waltman, L. (2021). Large-scale comparison of bibliographic data sources: Scopus, Web of Science, Dimensions, Crossref, and Microsoft Academic. Quantitative Science Studies, 2(1), 20–41. https://doi.org/10.1162/qss_a_00112</w:t>
      </w:r>
    </w:p>
    <w:p>
      <w:pPr>
        <w:spacing w:after="160"/>
        <w:ind w:left="432" w:hanging="432"/>
      </w:pPr>
      <w:r>
        <w:rPr>
          <w:sz w:val="21"/>
        </w:rPr>
        <w:t>Walters, W. H., &amp; Wilder, E. I. (2023). Fabrication and errors in the bibliographic citations generated by ChatGPT. Scientific Reports, 13, 14045. https://doi.org/10.1038/s41598-023-41032-5</w:t>
      </w:r>
    </w:p>
    <w:p>
      <w:pPr>
        <w:spacing w:after="160"/>
        <w:ind w:left="432" w:hanging="432"/>
      </w:pPr>
      <w:r>
        <w:rPr>
          <w:sz w:val="21"/>
        </w:rPr>
        <w:t>Zhang, T. M., &amp; Abernethy, N. F. (2024). Detecting reference errors in scientific literature with large language models [Preprint]. arXiv:2411.06101. https://doi.org/10.48550/arXiv.2411.06101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C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