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Fabricated or just invisible? A four-source verification cascade for estimating the prevalence of hallucinated references in the scholarly literature</w:t>
      </w:r>
    </w:p>
    <w:p>
      <w:pPr>
        <w:spacing w:after="60"/>
        <w:jc w:val="center"/>
      </w:pPr>
      <w:r>
        <w:rPr>
          <w:b w:val="0"/>
          <w:i w:val="0"/>
          <w:sz w:val="24"/>
        </w:rPr>
        <w:t>Daniel Aristizábal Torres</w:t>
      </w:r>
    </w:p>
    <w:p>
      <w:pPr>
        <w:spacing w:after="40"/>
        <w:jc w:val="center"/>
      </w:pPr>
      <w:r>
        <w:rPr>
          <w:b w:val="0"/>
          <w:i/>
          <w:color w:val="595959"/>
          <w:sz w:val="20"/>
        </w:rPr>
        <w:t>Independent Researcher — Scientometrics and Research Integrity</w:t>
      </w:r>
    </w:p>
    <w:p>
      <w:pPr>
        <w:spacing w:after="60"/>
        <w:jc w:val="center"/>
      </w:pPr>
      <w:r>
        <w:rPr>
          <w:b w:val="0"/>
          <w:i w:val="0"/>
          <w:color w:val="595959"/>
          <w:sz w:val="18"/>
        </w:rPr>
        <w:t>danielaristo@yahoo.com  ·  github.com/danielaristo/reference-integrity-checker</w:t>
      </w:r>
    </w:p>
    <w:p>
      <w:pPr>
        <w:spacing w:after="200"/>
        <w:jc w:val="center"/>
      </w:pPr>
      <w:r>
        <w:rPr>
          <w:b w:val="0"/>
          <w:i/>
          <w:color w:val="A00000"/>
          <w:sz w:val="18"/>
        </w:rPr>
        <w:t>Target journal: Quantitative Science Studies (Q1) — alt.: Journal of Informetrics · Working draft v0.1</w:t>
      </w:r>
    </w:p>
    <w:p>
      <w:pPr>
        <w:spacing w:before="60" w:after="40"/>
        <w:pBdr>
          <w:top w:val="single" w:sz="6" w:space="3" w:color="1F4E79"/>
          <w:bottom w:val="single" w:sz="6" w:space="3" w:color="1F4E79"/>
        </w:pBdr>
      </w:pPr>
      <w:r>
        <w:rPr>
          <w:b/>
          <w:sz w:val="22"/>
        </w:rPr>
        <w:t>Abstract</w:t>
      </w:r>
    </w:p>
    <w:p>
      <w:pPr>
        <w:spacing w:after="140"/>
        <w:jc w:val="both"/>
      </w:pPr>
      <w:r>
        <w:rPr>
          <w:b w:val="0"/>
          <w:i w:val="0"/>
          <w:sz w:val="22"/>
        </w:rPr>
        <w:t xml:space="preserve">The rise of large language models has raised alarm about </w:t>
      </w:r>
      <w:r>
        <w:rPr>
          <w:b w:val="0"/>
          <w:i/>
          <w:sz w:val="22"/>
        </w:rPr>
        <w:t>hallucinated</w:t>
      </w:r>
      <w:r>
        <w:rPr>
          <w:b w:val="0"/>
          <w:i w:val="0"/>
          <w:sz w:val="22"/>
        </w:rPr>
        <w:t xml:space="preserve"> references — plausible-looking citations to works that do not exist. We ask how prevalent such references actually are in the recent published literature, and show that answering this requires separating genuine fabrication from two confounders that naïve detectors conflate with it: legitimate scholarship in non-indexed venues, and real works rendered unmatchable by abbreviated or malformed citation strings. We develop a reproducible four-source verification cascade (Crossref → OpenAlex → Semantic Scholar → human review) and apply it to 5,000 unresolved reference strings drawn from ~1,200 randomly selected 2024 journal articles with open reference lists. Of these, 25.2% are recovered as real works the standard matcher had missed, 12.3% carry erroneous metadata, and 62.5% are absent from the two largest databases; 517 of the latter have journal-article form. After a third automated layer and exhaustive manual verification of the 101 most recent (post-2020) survivors, we confirm zero fabricated references: every survivor is a real work in a non-indexed venue, a real work with a mutilated citation, or an author-only citation unverifiable by design. We conclude that the raw prevalence of hallucinated references is far lower than unvalidated detection suggests, and that the dominant signal in “unverifiable” citations is the fragility of citation matching and the invisibility of regional scholarship — not fabrication. </w:t>
      </w:r>
      <w:r>
        <w:rPr>
          <w:b w:val="0"/>
          <w:i/>
          <w:color w:val="A00000"/>
          <w:sz w:val="16"/>
        </w:rPr>
        <w:t>[205 words; trim to ≤200 for QSS.]</w:t>
      </w:r>
    </w:p>
    <w:p>
      <w:pPr>
        <w:spacing w:after="140"/>
        <w:jc w:val="both"/>
      </w:pPr>
      <w:r>
        <w:rPr>
          <w:b/>
          <w:i w:val="0"/>
          <w:sz w:val="22"/>
        </w:rPr>
        <w:t xml:space="preserve">Keywords: </w:t>
      </w:r>
      <w:r>
        <w:rPr>
          <w:b w:val="0"/>
          <w:i/>
          <w:sz w:val="22"/>
        </w:rPr>
        <w:t>reference verification; citation integrity; hallucinated references; large language models; open bibliographic databases; scholarly data infrastructure</w:t>
      </w:r>
    </w:p>
    <w:p>
      <w:r>
        <w:br w:type="page"/>
      </w:r>
    </w:p>
    <w:p>
      <w:pPr>
        <w:pStyle w:val="Heading1"/>
      </w:pPr>
      <w:r>
        <w:t>1. Introduction</w:t>
      </w:r>
    </w:p>
    <w:p>
      <w:pPr>
        <w:spacing w:after="140"/>
        <w:jc w:val="both"/>
      </w:pPr>
      <w:r>
        <w:rPr>
          <w:b w:val="0"/>
          <w:i w:val="0"/>
          <w:sz w:val="22"/>
        </w:rPr>
        <w:t>The widespread adoption of large language models (LLMs) in scholarly writing has produced a new failure mode in the citation record: references that are fluent, correctly formatted, and entirely fictitious. Early evidence of these “hallucinated” references has come from small manual audits and single-corpus analyses, and a handful of studies have placed the rate of non-existent citations in recent preprints at a fraction of a percent. These findings have prompted calls for editorial screening tools and have made reference integrity a live concern for journals, funders, and universities.</w:t>
      </w:r>
    </w:p>
    <w:p>
      <w:pPr>
        <w:spacing w:after="140"/>
        <w:jc w:val="both"/>
      </w:pPr>
      <w:r>
        <w:rPr>
          <w:b w:val="0"/>
          <w:i w:val="0"/>
          <w:sz w:val="22"/>
        </w:rPr>
        <w:t>Yet the existing evidence base has two limitations that this study addresses. First, most estimates are drawn from a single discipline or repository and cannot speak to the multidisciplinary, multi-publisher literature at large. Second, and more consequentially, prevailing detection approaches treat “a reference that cannot be found” as equivalent to “a reference that was fabricated.” These are not the same. A citation may be unverifiable because the cited work is real but published in a journal outside the major indexes, because the citation string is so heavily abbreviated that automated matching fails, or because the reference genuinely points to nothing. Conflating these populations inflates prevalence estimates and undermines the credibility of any tool built on them.</w:t>
      </w:r>
    </w:p>
    <w:p>
      <w:pPr>
        <w:spacing w:after="140"/>
        <w:jc w:val="both"/>
      </w:pPr>
      <w:r>
        <w:rPr>
          <w:b w:val="0"/>
          <w:i w:val="0"/>
          <w:sz w:val="22"/>
        </w:rPr>
        <w:t xml:space="preserve">This study makes three contributions. </w:t>
      </w:r>
      <w:r>
        <w:rPr>
          <w:b/>
          <w:i w:val="0"/>
          <w:sz w:val="22"/>
        </w:rPr>
        <w:t>First</w:t>
      </w:r>
      <w:r>
        <w:rPr>
          <w:b w:val="0"/>
          <w:i w:val="0"/>
          <w:sz w:val="22"/>
        </w:rPr>
        <w:t xml:space="preserve">, we provide a reproducible methodology — a four-source verification cascade with explicit matching rules — that converts the weak claim “this reference could not be found” into the defensible classification “this reference is unlikely to exist,” by routing every unmatched candidate through progressively broader databases and a final layer of human verification. </w:t>
      </w:r>
      <w:r>
        <w:rPr>
          <w:b/>
          <w:i w:val="0"/>
          <w:sz w:val="22"/>
        </w:rPr>
        <w:t>Second</w:t>
      </w:r>
      <w:r>
        <w:rPr>
          <w:b w:val="0"/>
          <w:i w:val="0"/>
          <w:sz w:val="22"/>
        </w:rPr>
        <w:t xml:space="preserve">, we report a full accounting of what “unverifiable” references actually are — recoverable, erroneous, non-indexed, and presumably fabricated — alongside infrastructure findings that emerged from the cascade itself, including the failure rate of standard citation matching and a blind spot in retraction flagging caused by duplicate DOI registrations. </w:t>
      </w:r>
      <w:r>
        <w:rPr>
          <w:b/>
          <w:i w:val="0"/>
          <w:sz w:val="22"/>
        </w:rPr>
        <w:t>Third</w:t>
      </w:r>
      <w:r>
        <w:rPr>
          <w:b w:val="0"/>
          <w:i w:val="0"/>
          <w:sz w:val="22"/>
        </w:rPr>
        <w:t>, we release the verification tool as a free web application (danielaristo.com/reference-integrity-checker), together with the annotated survivor set and all code and data, so that authors, editors, and reviewers can screen bibliographies before publication.</w:t>
      </w:r>
    </w:p>
    <w:p>
      <w:pPr>
        <w:spacing w:after="140"/>
        <w:jc w:val="both"/>
      </w:pPr>
      <w:r>
        <w:rPr>
          <w:b w:val="0"/>
          <w:i w:val="0"/>
          <w:sz w:val="22"/>
        </w:rPr>
        <w:t>The remainder of the paper is organized as follows. Section 2 describes the data and the verification cascade; Section 3 presents the results; Section 4 discusses implications for editorial screening and scholarly data infrastructure; Section 5 concludes.</w:t>
      </w:r>
    </w:p>
    <w:p>
      <w:pPr>
        <w:spacing w:after="140"/>
        <w:ind w:left="216"/>
        <w:shd w:val="clear" w:fill="FFF3CD"/>
        <w:pBdr>
          <w:left w:val="single" w:sz="18" w:space="6" w:color="E0A800"/>
        </w:pBdr>
      </w:pPr>
      <w:r>
        <w:rPr>
          <w:b/>
          <w:color w:val="8A6D00"/>
          <w:sz w:val="18"/>
        </w:rPr>
        <w:t xml:space="preserve">DRAFTING NOTE  </w:t>
      </w:r>
      <w:r>
        <w:rPr>
          <w:i/>
          <w:color w:val="6B5900"/>
          <w:sz w:val="18"/>
        </w:rPr>
        <w:t>Add 4–6 real, verified citations here: the arXiv ~0.4% prevalence study, the Lancet commentary on fabricated citations, the OpenAlex paper (Priem, Piwowar &amp; Orr 2022), and a citation-matching reference. Do NOT cite from memory — verify each with the tool before inserting.</w:t>
      </w:r>
    </w:p>
    <w:p>
      <w:pPr>
        <w:pStyle w:val="Heading1"/>
      </w:pPr>
      <w:r>
        <w:t>2. Data and Methods</w:t>
      </w:r>
    </w:p>
    <w:p>
      <w:pPr>
        <w:pStyle w:val="Heading2"/>
      </w:pPr>
      <w:r>
        <w:t>2.1 Sampling frame</w:t>
      </w:r>
    </w:p>
    <w:p>
      <w:pPr>
        <w:spacing w:after="140"/>
        <w:jc w:val="both"/>
      </w:pPr>
      <w:r>
        <w:rPr>
          <w:b w:val="0"/>
          <w:i w:val="0"/>
          <w:sz w:val="22"/>
        </w:rPr>
        <w:t>Our unit of analysis is the individual reference string. We drew a random sample of 2024 journal articles from Crossref, restricted to those with open (deposited) reference lists. As of sampling, Crossref held 6,092,408 journal articles with a 2024 publication date, of which 57.2% carried a deposited reference list. Within those lists, approximately 31% of references are “unresolved” — deposited as raw text without a linked DOI. These unresolved strings are the population of interest, because a fabricated reference, having no real referent, cannot carry a resolved DOI and will necessarily appear here.</w:t>
      </w:r>
    </w:p>
    <w:p>
      <w:pPr>
        <w:spacing w:after="140"/>
        <w:jc w:val="both"/>
      </w:pPr>
      <w:r>
        <w:rPr>
          <w:b w:val="0"/>
          <w:i w:val="0"/>
          <w:sz w:val="22"/>
        </w:rPr>
        <w:t>From roughly 1,200 randomly sampled articles we extracted 5,000 unresolved reference strings, retaining for each the DOI of the citing article as provenance. We note a deliberate selection bias: journals that deposit open references are, on average, the more procedurally rigorous ones, so our prevalence figures should be read as a lower bound on the wider literature.</w:t>
      </w:r>
    </w:p>
    <w:p>
      <w:pPr>
        <w:pStyle w:val="Heading2"/>
      </w:pPr>
      <w:r>
        <w:t>2.2 The verification cascade</w:t>
      </w:r>
    </w:p>
    <w:p>
      <w:pPr>
        <w:spacing w:after="140"/>
        <w:jc w:val="both"/>
      </w:pPr>
      <w:r>
        <w:rPr>
          <w:b w:val="0"/>
          <w:i w:val="0"/>
          <w:sz w:val="22"/>
        </w:rPr>
        <w:t>Each reference passes through the cascade until it is resolved or exhausts all sources:</w:t>
      </w:r>
    </w:p>
    <w:p>
      <w:pPr>
        <w:pStyle w:val="ListBullet"/>
        <w:spacing w:after="80"/>
      </w:pPr>
      <w:r>
        <w:rPr>
          <w:sz w:val="22"/>
        </w:rPr>
        <w:t>Stage 1 — Crossref. If the string contains a DOI, we resolve it directly; otherwise we run a bibliographic query and accept the best title match.</w:t>
      </w:r>
    </w:p>
    <w:p>
      <w:pPr>
        <w:pStyle w:val="ListBullet"/>
        <w:spacing w:after="80"/>
      </w:pPr>
      <w:r>
        <w:rPr>
          <w:sz w:val="22"/>
        </w:rPr>
        <w:t>Stage 2 — OpenAlex. Strings unresolved by Crossref are queried against OpenAlex (~250M works), which aggregates Crossref, PubMed, DataCite, and repository records.</w:t>
      </w:r>
    </w:p>
    <w:p>
      <w:pPr>
        <w:pStyle w:val="ListBullet"/>
        <w:spacing w:after="80"/>
      </w:pPr>
      <w:r>
        <w:rPr>
          <w:sz w:val="22"/>
        </w:rPr>
        <w:t>Stage 3 — Semantic Scholar. Article-shaped strings still unresolved are queried against Semantic Scholar (~220M works), which indexes much non-Crossref content, including delisted and regional journals. We query the title-match endpoint on the extracted title segment, as full-citation queries return no results.</w:t>
      </w:r>
    </w:p>
    <w:p>
      <w:pPr>
        <w:pStyle w:val="ListBullet"/>
        <w:spacing w:after="80"/>
      </w:pPr>
      <w:r>
        <w:rPr>
          <w:sz w:val="22"/>
        </w:rPr>
        <w:t>Stage 4 — Human review. Strings surviving all three databases are verified manually via web search and classified as existing, unverifiable-by-design, ambiguous, or fabricated.</w:t>
      </w:r>
    </w:p>
    <w:p>
      <w:pPr>
        <w:pStyle w:val="Heading2"/>
      </w:pPr>
      <w:r>
        <w:t>2.3 Matching rules</w:t>
      </w:r>
    </w:p>
    <w:p>
      <w:pPr>
        <w:spacing w:after="140"/>
        <w:jc w:val="both"/>
      </w:pPr>
      <w:r>
        <w:rPr>
          <w:b w:val="0"/>
          <w:i w:val="0"/>
          <w:sz w:val="22"/>
        </w:rPr>
        <w:t>Automated matching accepts a candidate when a sufficient fraction of the significant title tokens (length &gt; 3) appears in the reference string, subject to three guards calibrated on a synthetic test set: titles with fewer than three significant tokens are accepted only on a near-perfect match plus first-author surname presence; when the registered first-author surname is absent from the string, a near-perfect title match is required; and cited years are tolerated within ±2 of the registered year to absorb online-first/print offsets.</w:t>
      </w:r>
    </w:p>
    <w:p>
      <w:pPr>
        <w:pStyle w:val="Heading2"/>
      </w:pPr>
      <w:r>
        <w:t>2.4 Retraction checking and a duplicate-DOI blind spot</w:t>
      </w:r>
    </w:p>
    <w:p>
      <w:pPr>
        <w:spacing w:after="140"/>
        <w:jc w:val="both"/>
      </w:pPr>
      <w:r>
        <w:rPr>
          <w:b w:val="0"/>
          <w:i w:val="0"/>
          <w:sz w:val="22"/>
        </w:rPr>
        <w:t xml:space="preserve">Retraction status is checked in OpenAlex both by DOI and by title. The title-based second check is necessary because publishers sometimes register </w:t>
      </w:r>
      <w:r>
        <w:rPr>
          <w:b/>
          <w:i w:val="0"/>
          <w:sz w:val="22"/>
        </w:rPr>
        <w:t>duplicate DOIs</w:t>
      </w:r>
      <w:r>
        <w:rPr>
          <w:b w:val="0"/>
          <w:i w:val="0"/>
          <w:sz w:val="22"/>
        </w:rPr>
        <w:t xml:space="preserve"> for the same work, and the retraction flag may attach to only one of them. In our synthetic test set, the retracted Wakefield et al. (1998) paper resolved to a DOI variant flagged as </w:t>
      </w:r>
      <w:r>
        <w:rPr>
          <w:b w:val="0"/>
          <w:i/>
          <w:sz w:val="22"/>
        </w:rPr>
        <w:t>not</w:t>
      </w:r>
      <w:r>
        <w:rPr>
          <w:b w:val="0"/>
          <w:i w:val="0"/>
          <w:sz w:val="22"/>
        </w:rPr>
        <w:t xml:space="preserve"> retracted, while its canonical DOI carried the flag; a DOI-only check therefore misses it. This is a general vulnerability of retraction-aware screening tools and is reported here as a secondary finding.</w:t>
      </w:r>
    </w:p>
    <w:p>
      <w:pPr>
        <w:pStyle w:val="Heading2"/>
      </w:pPr>
      <w:r>
        <w:t>2.5 Human validation and taxonomy</w:t>
      </w:r>
    </w:p>
    <w:p>
      <w:pPr>
        <w:spacing w:after="140"/>
        <w:jc w:val="both"/>
      </w:pPr>
      <w:r>
        <w:rPr>
          <w:b w:val="0"/>
          <w:i w:val="0"/>
          <w:sz w:val="22"/>
        </w:rPr>
        <w:t>For the survivor set we performed exhaustive manual verification of every post-2020 reference — the subset in which LLM-era fabrication, if present, would concentrate. Each was searched on the open web and assigned to one of four classes: confirmed to exist (with venue), author-only/untitled (no title to match, unverifiable by design), ambiguous (real journal not traceable via web search), or confirmed fabricated.</w:t>
      </w:r>
    </w:p>
    <w:p>
      <w:pPr>
        <w:spacing w:after="140"/>
        <w:ind w:left="216"/>
        <w:shd w:val="clear" w:fill="FFF3CD"/>
        <w:pBdr>
          <w:left w:val="single" w:sz="18" w:space="6" w:color="E0A800"/>
        </w:pBdr>
      </w:pPr>
      <w:r>
        <w:rPr>
          <w:b/>
          <w:color w:val="8A6D00"/>
          <w:sz w:val="18"/>
        </w:rPr>
        <w:t xml:space="preserve">DRAFTING NOTE  </w:t>
      </w:r>
      <w:r>
        <w:rPr>
          <w:i/>
          <w:color w:val="6B5900"/>
          <w:sz w:val="18"/>
        </w:rPr>
        <w:t>For a Q1 submission, upgrade 2.5 to a full inter-annotator protocol: a second independent annotator on the survivor set plus random samples of each automated verdict, reported with Cohen's κ. From that, derive the cascade's sensitivity/specificity and use them to correct the raw counts in 3.5. This is the section reviewers will scrutinize most.</w:t>
      </w:r>
    </w:p>
    <w:p>
      <w:pPr>
        <w:pStyle w:val="Heading2"/>
      </w:pPr>
      <w:r>
        <w:t>2.6 Reproducibility</w:t>
      </w:r>
    </w:p>
    <w:p>
      <w:pPr>
        <w:spacing w:after="140"/>
        <w:jc w:val="both"/>
      </w:pPr>
      <w:r>
        <w:rPr>
          <w:b w:val="0"/>
          <w:i w:val="0"/>
          <w:sz w:val="22"/>
        </w:rPr>
        <w:t>All three databases are queried through free public APIs; no proprietary index is used. The verification code, the sampled references with provenance, and the annotated survivor set are openly available at the repository listed above.</w:t>
      </w:r>
    </w:p>
    <w:p>
      <w:pPr>
        <w:pStyle w:val="Heading2"/>
      </w:pPr>
      <w:r>
        <w:t>2.7 A public screening tool</w:t>
      </w:r>
    </w:p>
    <w:p>
      <w:pPr>
        <w:spacing w:after="140"/>
        <w:jc w:val="both"/>
      </w:pPr>
      <w:r>
        <w:rPr>
          <w:b w:val="0"/>
          <w:i w:val="0"/>
          <w:sz w:val="22"/>
        </w:rPr>
        <w:t xml:space="preserve">Stages 1–2 of the cascade (Crossref and OpenAlex) require no proprietary access and both APIs permit cross-origin requests, so we implemented them as a client-side web application that runs entirely in the user's browser: no reference text is transmitted to any server other than the two source databases themselves. The tool is freely available at </w:t>
      </w:r>
      <w:r>
        <w:rPr>
          <w:b/>
          <w:i w:val="0"/>
          <w:sz w:val="22"/>
        </w:rPr>
        <w:t>danielaristo.com/reference-integrity-checker</w:t>
      </w:r>
      <w:r>
        <w:rPr>
          <w:b w:val="0"/>
          <w:i w:val="0"/>
          <w:sz w:val="22"/>
        </w:rPr>
        <w:t xml:space="preserve"> and lets an author, editor, or reviewer paste a bibliography and receive a per-reference verdict (verified, metadata mismatch, retracted, or not verifiable) in seconds, with a CSV export for manuscript records. The full four-source cascade with Semantic Scholar and human review, as used for the results below, is available as the open-source command-line pipeline in the same repository.</w:t>
      </w:r>
    </w:p>
    <w:p>
      <w:pPr>
        <w:pStyle w:val="Heading1"/>
      </w:pPr>
      <w:r>
        <w:t>3. Results</w:t>
      </w:r>
    </w:p>
    <w:p>
      <w:pPr>
        <w:pStyle w:val="Heading2"/>
      </w:pPr>
      <w:r>
        <w:t>3.1 The verification funnel</w:t>
      </w:r>
    </w:p>
    <w:p>
      <w:pPr>
        <w:spacing w:after="140"/>
        <w:jc w:val="both"/>
      </w:pPr>
      <w:r>
        <w:rPr>
          <w:b w:val="0"/>
          <w:i w:val="0"/>
          <w:sz w:val="22"/>
        </w:rPr>
        <w:t>Table 1 reports the full cascade applied to the 5,000-reference pilot. One quarter of the ostensibly “unresolved” references are in fact real works that the standard matcher failed to link; a further eighth carry an implausible cited year; and just under two thirds are absent from the two largest databases. Of the latter, 517 (10.3% of the sample) have the form of a journal article and are carried forward; the remaining unverifiable strings are gray literature (books, standards, patents, reports, theses, web pages).</w:t>
      </w:r>
    </w:p>
    <w:p>
      <w:pPr>
        <w:spacing w:after="80"/>
        <w:jc w:val="both"/>
      </w:pPr>
      <w:r>
        <w:rPr>
          <w:b w:val="0"/>
          <w:i/>
          <w:sz w:val="19"/>
        </w:rPr>
        <w:t>Table 1. The four-source verification cascade applied to 5,000 unresolved references (2024).</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600"/>
            <w:shd w:val="clear" w:fill="1F4E79"/>
          </w:tcPr>
          <w:p>
            <w:pPr>
              <w:spacing w:after="0"/>
            </w:pPr>
            <w:r/>
            <w:r>
              <w:rPr>
                <w:b/>
                <w:color w:val="FFFFFF"/>
                <w:sz w:val="19"/>
              </w:rPr>
              <w:t>Stage</w:t>
            </w:r>
          </w:p>
        </w:tc>
        <w:tc>
          <w:tcPr>
            <w:tcW w:type="dxa" w:w="1224"/>
            <w:shd w:val="clear" w:fill="1F4E79"/>
          </w:tcPr>
          <w:p>
            <w:pPr>
              <w:spacing w:after="0"/>
            </w:pPr>
            <w:r/>
            <w:r>
              <w:rPr>
                <w:b/>
                <w:color w:val="FFFFFF"/>
                <w:sz w:val="19"/>
              </w:rPr>
              <w:t>n</w:t>
            </w:r>
          </w:p>
        </w:tc>
        <w:tc>
          <w:tcPr>
            <w:tcW w:type="dxa" w:w="1368"/>
            <w:shd w:val="clear" w:fill="1F4E79"/>
          </w:tcPr>
          <w:p>
            <w:pPr>
              <w:spacing w:after="0"/>
            </w:pPr>
            <w:r/>
            <w:r>
              <w:rPr>
                <w:b/>
                <w:color w:val="FFFFFF"/>
                <w:sz w:val="19"/>
              </w:rPr>
              <w:t>% of 5,000</w:t>
            </w:r>
          </w:p>
        </w:tc>
        <w:tc>
          <w:tcPr>
            <w:tcW w:type="dxa" w:w="3024"/>
            <w:shd w:val="clear" w:fill="1F4E79"/>
          </w:tcPr>
          <w:p>
            <w:pPr>
              <w:spacing w:after="0"/>
            </w:pPr>
            <w:r/>
            <w:r>
              <w:rPr>
                <w:b/>
                <w:color w:val="FFFFFF"/>
                <w:sz w:val="19"/>
              </w:rPr>
              <w:t>Interpretation</w:t>
            </w:r>
          </w:p>
        </w:tc>
      </w:tr>
      <w:tr>
        <w:tc>
          <w:tcPr>
            <w:tcW w:type="dxa" w:w="3600"/>
          </w:tcPr>
          <w:p>
            <w:pPr>
              <w:spacing w:after="0"/>
            </w:pPr>
            <w:r/>
            <w:r>
              <w:rPr>
                <w:b w:val="0"/>
                <w:sz w:val="19"/>
              </w:rPr>
              <w:t>Unresolved reference strings sampled</w:t>
            </w:r>
          </w:p>
        </w:tc>
        <w:tc>
          <w:tcPr>
            <w:tcW w:type="dxa" w:w="1224"/>
          </w:tcPr>
          <w:p>
            <w:pPr>
              <w:spacing w:after="0"/>
            </w:pPr>
            <w:r/>
            <w:r>
              <w:rPr>
                <w:b w:val="0"/>
                <w:sz w:val="19"/>
              </w:rPr>
              <w:t>5,000</w:t>
            </w:r>
          </w:p>
        </w:tc>
        <w:tc>
          <w:tcPr>
            <w:tcW w:type="dxa" w:w="1368"/>
          </w:tcPr>
          <w:p>
            <w:pPr>
              <w:spacing w:after="0"/>
            </w:pPr>
            <w:r/>
            <w:r>
              <w:rPr>
                <w:b w:val="0"/>
                <w:sz w:val="19"/>
              </w:rPr>
              <w:t>100%</w:t>
            </w:r>
          </w:p>
        </w:tc>
        <w:tc>
          <w:tcPr>
            <w:tcW w:type="dxa" w:w="3024"/>
          </w:tcPr>
          <w:p>
            <w:pPr>
              <w:spacing w:after="0"/>
            </w:pPr>
            <w:r/>
            <w:r>
              <w:rPr>
                <w:b w:val="0"/>
                <w:sz w:val="19"/>
              </w:rPr>
              <w:t>Raw citation text Crossref could not link to a DOI</w:t>
            </w:r>
          </w:p>
        </w:tc>
      </w:tr>
      <w:tr>
        <w:tc>
          <w:tcPr>
            <w:tcW w:type="dxa" w:w="3600"/>
          </w:tcPr>
          <w:p>
            <w:pPr>
              <w:spacing w:after="0"/>
            </w:pPr>
            <w:r/>
            <w:r>
              <w:rPr>
                <w:b w:val="0"/>
                <w:sz w:val="19"/>
              </w:rPr>
              <w:t>→ Verified (rescued by the cascade)</w:t>
            </w:r>
          </w:p>
        </w:tc>
        <w:tc>
          <w:tcPr>
            <w:tcW w:type="dxa" w:w="1224"/>
          </w:tcPr>
          <w:p>
            <w:pPr>
              <w:spacing w:after="0"/>
            </w:pPr>
            <w:r/>
            <w:r>
              <w:rPr>
                <w:b w:val="0"/>
                <w:sz w:val="19"/>
              </w:rPr>
              <w:t>1,262</w:t>
            </w:r>
          </w:p>
        </w:tc>
        <w:tc>
          <w:tcPr>
            <w:tcW w:type="dxa" w:w="1368"/>
          </w:tcPr>
          <w:p>
            <w:pPr>
              <w:spacing w:after="0"/>
            </w:pPr>
            <w:r/>
            <w:r>
              <w:rPr>
                <w:b w:val="0"/>
                <w:sz w:val="19"/>
              </w:rPr>
              <w:t>25.2%</w:t>
            </w:r>
          </w:p>
        </w:tc>
        <w:tc>
          <w:tcPr>
            <w:tcW w:type="dxa" w:w="3024"/>
          </w:tcPr>
          <w:p>
            <w:pPr>
              <w:spacing w:after="0"/>
            </w:pPr>
            <w:r/>
            <w:r>
              <w:rPr>
                <w:b w:val="0"/>
                <w:sz w:val="19"/>
              </w:rPr>
              <w:t>Real works the standard matcher missed</w:t>
            </w:r>
          </w:p>
        </w:tc>
      </w:tr>
      <w:tr>
        <w:tc>
          <w:tcPr>
            <w:tcW w:type="dxa" w:w="3600"/>
          </w:tcPr>
          <w:p>
            <w:pPr>
              <w:spacing w:after="0"/>
            </w:pPr>
            <w:r/>
            <w:r>
              <w:rPr>
                <w:b w:val="0"/>
                <w:sz w:val="19"/>
              </w:rPr>
              <w:t>→ Metadata mismatch (implausible year)</w:t>
            </w:r>
          </w:p>
        </w:tc>
        <w:tc>
          <w:tcPr>
            <w:tcW w:type="dxa" w:w="1224"/>
          </w:tcPr>
          <w:p>
            <w:pPr>
              <w:spacing w:after="0"/>
            </w:pPr>
            <w:r/>
            <w:r>
              <w:rPr>
                <w:b w:val="0"/>
                <w:sz w:val="19"/>
              </w:rPr>
              <w:t>614</w:t>
            </w:r>
          </w:p>
        </w:tc>
        <w:tc>
          <w:tcPr>
            <w:tcW w:type="dxa" w:w="1368"/>
          </w:tcPr>
          <w:p>
            <w:pPr>
              <w:spacing w:after="0"/>
            </w:pPr>
            <w:r/>
            <w:r>
              <w:rPr>
                <w:b w:val="0"/>
                <w:sz w:val="19"/>
              </w:rPr>
              <w:t>12.3%</w:t>
            </w:r>
          </w:p>
        </w:tc>
        <w:tc>
          <w:tcPr>
            <w:tcW w:type="dxa" w:w="3024"/>
          </w:tcPr>
          <w:p>
            <w:pPr>
              <w:spacing w:after="0"/>
            </w:pPr>
            <w:r/>
            <w:r>
              <w:rPr>
                <w:b w:val="0"/>
                <w:sz w:val="19"/>
              </w:rPr>
              <w:t>Real works cited with an erroneous year</w:t>
            </w:r>
          </w:p>
        </w:tc>
      </w:tr>
      <w:tr>
        <w:tc>
          <w:tcPr>
            <w:tcW w:type="dxa" w:w="3600"/>
          </w:tcPr>
          <w:p>
            <w:pPr>
              <w:spacing w:after="0"/>
            </w:pPr>
            <w:r/>
            <w:r>
              <w:rPr>
                <w:b w:val="0"/>
                <w:sz w:val="19"/>
              </w:rPr>
              <w:t>→ Not verifiable</w:t>
            </w:r>
          </w:p>
        </w:tc>
        <w:tc>
          <w:tcPr>
            <w:tcW w:type="dxa" w:w="1224"/>
          </w:tcPr>
          <w:p>
            <w:pPr>
              <w:spacing w:after="0"/>
            </w:pPr>
            <w:r/>
            <w:r>
              <w:rPr>
                <w:b w:val="0"/>
                <w:sz w:val="19"/>
              </w:rPr>
              <w:t>3,124</w:t>
            </w:r>
          </w:p>
        </w:tc>
        <w:tc>
          <w:tcPr>
            <w:tcW w:type="dxa" w:w="1368"/>
          </w:tcPr>
          <w:p>
            <w:pPr>
              <w:spacing w:after="0"/>
            </w:pPr>
            <w:r/>
            <w:r>
              <w:rPr>
                <w:b w:val="0"/>
                <w:sz w:val="19"/>
              </w:rPr>
              <w:t>62.5%</w:t>
            </w:r>
          </w:p>
        </w:tc>
        <w:tc>
          <w:tcPr>
            <w:tcW w:type="dxa" w:w="3024"/>
          </w:tcPr>
          <w:p>
            <w:pPr>
              <w:spacing w:after="0"/>
            </w:pPr>
            <w:r/>
            <w:r>
              <w:rPr>
                <w:b w:val="0"/>
                <w:sz w:val="19"/>
              </w:rPr>
              <w:t>Absent from Crossref and OpenAlex</w:t>
            </w:r>
          </w:p>
        </w:tc>
      </w:tr>
      <w:tr>
        <w:tc>
          <w:tcPr>
            <w:tcW w:type="dxa" w:w="3600"/>
            <w:shd w:val="clear" w:fill="EAF1FA"/>
          </w:tcPr>
          <w:p>
            <w:pPr>
              <w:spacing w:after="0"/>
            </w:pPr>
            <w:r/>
            <w:r>
              <w:rPr>
                <w:b/>
                <w:sz w:val="19"/>
              </w:rPr>
              <w:t xml:space="preserve">    of which article-shaped candidates</w:t>
            </w:r>
          </w:p>
        </w:tc>
        <w:tc>
          <w:tcPr>
            <w:tcW w:type="dxa" w:w="1224"/>
            <w:shd w:val="clear" w:fill="EAF1FA"/>
          </w:tcPr>
          <w:p>
            <w:pPr>
              <w:spacing w:after="0"/>
            </w:pPr>
            <w:r/>
            <w:r>
              <w:rPr>
                <w:b w:val="0"/>
                <w:sz w:val="19"/>
              </w:rPr>
              <w:t>517</w:t>
            </w:r>
          </w:p>
        </w:tc>
        <w:tc>
          <w:tcPr>
            <w:tcW w:type="dxa" w:w="1368"/>
            <w:shd w:val="clear" w:fill="EAF1FA"/>
          </w:tcPr>
          <w:p>
            <w:pPr>
              <w:spacing w:after="0"/>
            </w:pPr>
            <w:r/>
            <w:r>
              <w:rPr>
                <w:b w:val="0"/>
                <w:sz w:val="19"/>
              </w:rPr>
              <w:t>10.3%</w:t>
            </w:r>
          </w:p>
        </w:tc>
        <w:tc>
          <w:tcPr>
            <w:tcW w:type="dxa" w:w="3024"/>
            <w:shd w:val="clear" w:fill="EAF1FA"/>
          </w:tcPr>
          <w:p>
            <w:pPr>
              <w:spacing w:after="0"/>
            </w:pPr>
            <w:r/>
            <w:r>
              <w:rPr>
                <w:b w:val="0"/>
                <w:sz w:val="19"/>
              </w:rPr>
              <w:t>Journal-article form; carried to Stage 3–4</w:t>
            </w:r>
          </w:p>
        </w:tc>
      </w:tr>
      <w:tr>
        <w:tc>
          <w:tcPr>
            <w:tcW w:type="dxa" w:w="3600"/>
          </w:tcPr>
          <w:p>
            <w:pPr>
              <w:spacing w:after="0"/>
            </w:pPr>
            <w:r/>
            <w:r>
              <w:rPr>
                <w:b w:val="0"/>
                <w:sz w:val="19"/>
              </w:rPr>
              <w:t>→ Found in Semantic Scholar (non-indexed)</w:t>
            </w:r>
          </w:p>
        </w:tc>
        <w:tc>
          <w:tcPr>
            <w:tcW w:type="dxa" w:w="1224"/>
          </w:tcPr>
          <w:p>
            <w:pPr>
              <w:spacing w:after="0"/>
            </w:pPr>
            <w:r/>
            <w:r>
              <w:rPr>
                <w:b w:val="0"/>
                <w:sz w:val="19"/>
              </w:rPr>
              <w:t>96</w:t>
            </w:r>
          </w:p>
        </w:tc>
        <w:tc>
          <w:tcPr>
            <w:tcW w:type="dxa" w:w="1368"/>
          </w:tcPr>
          <w:p>
            <w:pPr>
              <w:spacing w:after="0"/>
            </w:pPr>
            <w:r/>
            <w:r>
              <w:rPr>
                <w:b w:val="0"/>
                <w:sz w:val="19"/>
              </w:rPr>
              <w:t>1.9%</w:t>
            </w:r>
          </w:p>
        </w:tc>
        <w:tc>
          <w:tcPr>
            <w:tcW w:type="dxa" w:w="3024"/>
          </w:tcPr>
          <w:p>
            <w:pPr>
              <w:spacing w:after="0"/>
            </w:pPr>
            <w:r/>
            <w:r>
              <w:rPr>
                <w:b w:val="0"/>
                <w:sz w:val="19"/>
              </w:rPr>
              <w:t>Real works outside Crossref/OpenAlex</w:t>
            </w:r>
          </w:p>
        </w:tc>
      </w:tr>
      <w:tr>
        <w:tc>
          <w:tcPr>
            <w:tcW w:type="dxa" w:w="3600"/>
            <w:shd w:val="clear" w:fill="EAF1FA"/>
          </w:tcPr>
          <w:p>
            <w:pPr>
              <w:spacing w:after="0"/>
            </w:pPr>
            <w:r/>
            <w:r>
              <w:rPr>
                <w:b/>
                <w:sz w:val="19"/>
              </w:rPr>
              <w:t>→ Survivors of all four sources</w:t>
            </w:r>
          </w:p>
        </w:tc>
        <w:tc>
          <w:tcPr>
            <w:tcW w:type="dxa" w:w="1224"/>
            <w:shd w:val="clear" w:fill="EAF1FA"/>
          </w:tcPr>
          <w:p>
            <w:pPr>
              <w:spacing w:after="0"/>
            </w:pPr>
            <w:r/>
            <w:r>
              <w:rPr>
                <w:b w:val="0"/>
                <w:sz w:val="19"/>
              </w:rPr>
              <w:t>421</w:t>
            </w:r>
          </w:p>
        </w:tc>
        <w:tc>
          <w:tcPr>
            <w:tcW w:type="dxa" w:w="1368"/>
            <w:shd w:val="clear" w:fill="EAF1FA"/>
          </w:tcPr>
          <w:p>
            <w:pPr>
              <w:spacing w:after="0"/>
            </w:pPr>
            <w:r/>
            <w:r>
              <w:rPr>
                <w:b w:val="0"/>
                <w:sz w:val="19"/>
              </w:rPr>
              <w:t>8.4%</w:t>
            </w:r>
          </w:p>
        </w:tc>
        <w:tc>
          <w:tcPr>
            <w:tcW w:type="dxa" w:w="3024"/>
            <w:shd w:val="clear" w:fill="EAF1FA"/>
          </w:tcPr>
          <w:p>
            <w:pPr>
              <w:spacing w:after="0"/>
            </w:pPr>
            <w:r/>
            <w:r>
              <w:rPr>
                <w:b w:val="0"/>
                <w:sz w:val="19"/>
              </w:rPr>
              <w:t>Fabrication candidates for human review</w:t>
            </w:r>
          </w:p>
        </w:tc>
      </w:tr>
    </w:tbl>
    <w:p>
      <w:pPr>
        <w:spacing w:after="80"/>
        <w:jc w:val="both"/>
      </w:pPr>
      <w:r>
        <w:rPr>
          <w:b w:val="0"/>
          <w:i w:val="0"/>
          <w:sz w:val="22"/>
        </w:rPr>
      </w:r>
    </w:p>
    <w:p>
      <w:pPr>
        <w:pStyle w:val="Heading2"/>
      </w:pPr>
      <w:r>
        <w:t>3.2 Standard citation matching fails more than expected</w:t>
      </w:r>
    </w:p>
    <w:p>
      <w:pPr>
        <w:spacing w:after="140"/>
        <w:jc w:val="both"/>
      </w:pPr>
      <w:r>
        <w:rPr>
          <w:b w:val="0"/>
          <w:i w:val="0"/>
          <w:sz w:val="22"/>
        </w:rPr>
        <w:t>The 25.2% “rescue” rate is itself an infrastructure finding: a quarter of the references that Crossref's own deposited data left unlinked are resolvable with a more tolerant matcher. Recovered cases include papers in Nature, Physical Review D, Astroparticle Physics, and American Family Physician — all indexed, all missed because the citation string was abbreviated, title-first without an author, or otherwise malformed.</w:t>
      </w:r>
    </w:p>
    <w:p>
      <w:pPr>
        <w:pStyle w:val="Heading2"/>
      </w:pPr>
      <w:r>
        <w:t>3.3 Careless citation is far more common than fabrication</w:t>
      </w:r>
    </w:p>
    <w:p>
      <w:pPr>
        <w:spacing w:after="140"/>
        <w:jc w:val="both"/>
      </w:pPr>
      <w:r>
        <w:rPr>
          <w:b w:val="0"/>
          <w:i w:val="0"/>
          <w:sz w:val="22"/>
        </w:rPr>
        <w:t>12.3% of unresolved references cite a real work under a year that differs from the registered year by more than two. Sloppy citation, in other words, is an order of magnitude more common in this sample than any plausible rate of fabrication — a descriptive result that, to our knowledge, has not been quantified at this scale.</w:t>
      </w:r>
    </w:p>
    <w:p>
      <w:pPr>
        <w:pStyle w:val="Heading2"/>
      </w:pPr>
      <w:r>
        <w:t>3.4 A large population of real-but-invisible scholarship</w:t>
      </w:r>
    </w:p>
    <w:p>
      <w:pPr>
        <w:spacing w:after="140"/>
        <w:jc w:val="both"/>
      </w:pPr>
      <w:r>
        <w:rPr>
          <w:b w:val="0"/>
          <w:i w:val="0"/>
          <w:sz w:val="22"/>
        </w:rPr>
        <w:t>Of the 517 article-shaped candidates, 96 (18.6%) were located in Semantic Scholar despite being absent from Crossref and OpenAlex. These are real works living outside the major indexes — including articles in established venues as well as regional and delisted journals. Any detector lacking this layer would misclassify them as fabricated.</w:t>
      </w:r>
    </w:p>
    <w:p>
      <w:pPr>
        <w:pStyle w:val="Heading2"/>
      </w:pPr>
      <w:r>
        <w:t>3.5 Prevalence of fabricated references: an upper bound near zero</w:t>
      </w:r>
    </w:p>
    <w:p>
      <w:pPr>
        <w:spacing w:after="140"/>
        <w:jc w:val="both"/>
      </w:pPr>
      <w:r>
        <w:rPr>
          <w:b w:val="0"/>
          <w:i w:val="0"/>
          <w:sz w:val="22"/>
        </w:rPr>
        <w:t>421 references (8.4% of the sample) survived all three databases. Exhaustive manual verification of the 101 most recent (post-2020) survivors — the highest-risk subset — returned the distribution in Table 2: 80.2% were confirmed to exist, 9.9% were author-only citations unverifiable by design, 9.9% were ambiguous (real Chinese-language journals not traceable by web search), and none were confirmed fabricated.</w:t>
      </w:r>
    </w:p>
    <w:p>
      <w:pPr>
        <w:spacing w:after="80"/>
        <w:jc w:val="both"/>
      </w:pPr>
      <w:r>
        <w:rPr>
          <w:b w:val="0"/>
          <w:i/>
          <w:sz w:val="19"/>
        </w:rPr>
        <w:t>Table 2. Manual verification of the 101 most recent (post-2020) survivors.</w:t>
      </w:r>
    </w:p>
    <w:tbl>
      <w:tblPr>
        <w:tblW w:type="auto" w:w="0"/>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160"/>
        <w:gridCol w:w="2160"/>
        <w:gridCol w:w="2160"/>
        <w:gridCol w:w="2160"/>
      </w:tblGrid>
      <w:tr>
        <w:tc>
          <w:tcPr>
            <w:tcW w:type="dxa" w:w="3456"/>
            <w:shd w:val="clear" w:fill="1F4E79"/>
          </w:tcPr>
          <w:p>
            <w:pPr>
              <w:spacing w:after="0"/>
            </w:pPr>
            <w:r/>
            <w:r>
              <w:rPr>
                <w:b/>
                <w:color w:val="FFFFFF"/>
                <w:sz w:val="19"/>
              </w:rPr>
              <w:t>Verdict</w:t>
            </w:r>
          </w:p>
        </w:tc>
        <w:tc>
          <w:tcPr>
            <w:tcW w:type="dxa" w:w="1152"/>
            <w:shd w:val="clear" w:fill="1F4E79"/>
          </w:tcPr>
          <w:p>
            <w:pPr>
              <w:spacing w:after="0"/>
            </w:pPr>
            <w:r/>
            <w:r>
              <w:rPr>
                <w:b/>
                <w:color w:val="FFFFFF"/>
                <w:sz w:val="19"/>
              </w:rPr>
              <w:t>n</w:t>
            </w:r>
          </w:p>
        </w:tc>
        <w:tc>
          <w:tcPr>
            <w:tcW w:type="dxa" w:w="1296"/>
            <w:shd w:val="clear" w:fill="1F4E79"/>
          </w:tcPr>
          <w:p>
            <w:pPr>
              <w:spacing w:after="0"/>
            </w:pPr>
            <w:r/>
            <w:r>
              <w:rPr>
                <w:b/>
                <w:color w:val="FFFFFF"/>
                <w:sz w:val="19"/>
              </w:rPr>
              <w:t>%</w:t>
            </w:r>
          </w:p>
        </w:tc>
        <w:tc>
          <w:tcPr>
            <w:tcW w:type="dxa" w:w="3312"/>
            <w:shd w:val="clear" w:fill="1F4E79"/>
          </w:tcPr>
          <w:p>
            <w:pPr>
              <w:spacing w:after="0"/>
            </w:pPr>
            <w:r/>
            <w:r>
              <w:rPr>
                <w:b/>
                <w:color w:val="FFFFFF"/>
                <w:sz w:val="19"/>
              </w:rPr>
              <w:t>Why it survived four sources</w:t>
            </w:r>
          </w:p>
        </w:tc>
      </w:tr>
      <w:tr>
        <w:tc>
          <w:tcPr>
            <w:tcW w:type="dxa" w:w="3456"/>
          </w:tcPr>
          <w:p>
            <w:pPr>
              <w:spacing w:after="0"/>
            </w:pPr>
            <w:r/>
            <w:r>
              <w:rPr>
                <w:b w:val="0"/>
                <w:sz w:val="19"/>
              </w:rPr>
              <w:t>Confirmed to exist</w:t>
            </w:r>
          </w:p>
        </w:tc>
        <w:tc>
          <w:tcPr>
            <w:tcW w:type="dxa" w:w="1152"/>
          </w:tcPr>
          <w:p>
            <w:pPr>
              <w:spacing w:after="0"/>
            </w:pPr>
            <w:r/>
            <w:r>
              <w:rPr>
                <w:b w:val="0"/>
                <w:sz w:val="19"/>
              </w:rPr>
              <w:t>81</w:t>
            </w:r>
          </w:p>
        </w:tc>
        <w:tc>
          <w:tcPr>
            <w:tcW w:type="dxa" w:w="1296"/>
          </w:tcPr>
          <w:p>
            <w:pPr>
              <w:spacing w:after="0"/>
            </w:pPr>
            <w:r/>
            <w:r>
              <w:rPr>
                <w:b w:val="0"/>
                <w:sz w:val="19"/>
              </w:rPr>
              <w:t>80.2%</w:t>
            </w:r>
          </w:p>
        </w:tc>
        <w:tc>
          <w:tcPr>
            <w:tcW w:type="dxa" w:w="3312"/>
          </w:tcPr>
          <w:p>
            <w:pPr>
              <w:spacing w:after="0"/>
            </w:pPr>
            <w:r/>
            <w:r>
              <w:rPr>
                <w:b w:val="0"/>
                <w:sz w:val="19"/>
              </w:rPr>
              <w:t>Real work located by web search</w:t>
            </w:r>
          </w:p>
        </w:tc>
      </w:tr>
      <w:tr>
        <w:tc>
          <w:tcPr>
            <w:tcW w:type="dxa" w:w="3456"/>
          </w:tcPr>
          <w:p>
            <w:pPr>
              <w:spacing w:after="0"/>
            </w:pPr>
            <w:r/>
            <w:r>
              <w:rPr>
                <w:b w:val="0"/>
                <w:sz w:val="19"/>
              </w:rPr>
              <w:t>Author-only (untitled) citation</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No title to match; unverifiable by design</w:t>
            </w:r>
          </w:p>
        </w:tc>
      </w:tr>
      <w:tr>
        <w:tc>
          <w:tcPr>
            <w:tcW w:type="dxa" w:w="3456"/>
          </w:tcPr>
          <w:p>
            <w:pPr>
              <w:spacing w:after="0"/>
            </w:pPr>
            <w:r/>
            <w:r>
              <w:rPr>
                <w:b w:val="0"/>
                <w:sz w:val="19"/>
              </w:rPr>
              <w:t>Ambiguous</w:t>
            </w:r>
          </w:p>
        </w:tc>
        <w:tc>
          <w:tcPr>
            <w:tcW w:type="dxa" w:w="1152"/>
          </w:tcPr>
          <w:p>
            <w:pPr>
              <w:spacing w:after="0"/>
            </w:pPr>
            <w:r/>
            <w:r>
              <w:rPr>
                <w:b w:val="0"/>
                <w:sz w:val="19"/>
              </w:rPr>
              <w:t>10</w:t>
            </w:r>
          </w:p>
        </w:tc>
        <w:tc>
          <w:tcPr>
            <w:tcW w:type="dxa" w:w="1296"/>
          </w:tcPr>
          <w:p>
            <w:pPr>
              <w:spacing w:after="0"/>
            </w:pPr>
            <w:r/>
            <w:r>
              <w:rPr>
                <w:b w:val="0"/>
                <w:sz w:val="19"/>
              </w:rPr>
              <w:t>9.9%</w:t>
            </w:r>
          </w:p>
        </w:tc>
        <w:tc>
          <w:tcPr>
            <w:tcW w:type="dxa" w:w="3312"/>
          </w:tcPr>
          <w:p>
            <w:pPr>
              <w:spacing w:after="0"/>
            </w:pPr>
            <w:r/>
            <w:r>
              <w:rPr>
                <w:b w:val="0"/>
                <w:sz w:val="19"/>
              </w:rPr>
              <w:t>Chinese-language journals not web-traceable</w:t>
            </w:r>
          </w:p>
        </w:tc>
      </w:tr>
      <w:tr>
        <w:tc>
          <w:tcPr>
            <w:tcW w:type="dxa" w:w="3456"/>
            <w:shd w:val="clear" w:fill="FCEBEB"/>
          </w:tcPr>
          <w:p>
            <w:pPr>
              <w:spacing w:after="0"/>
            </w:pPr>
            <w:r/>
            <w:r>
              <w:rPr>
                <w:b/>
                <w:color w:val="8A0000"/>
                <w:sz w:val="19"/>
              </w:rPr>
              <w:t>Confirmed fabricated</w:t>
            </w:r>
          </w:p>
        </w:tc>
        <w:tc>
          <w:tcPr>
            <w:tcW w:type="dxa" w:w="1152"/>
            <w:shd w:val="clear" w:fill="FCEBEB"/>
          </w:tcPr>
          <w:p>
            <w:pPr>
              <w:spacing w:after="0"/>
            </w:pPr>
            <w:r/>
            <w:r>
              <w:rPr>
                <w:b w:val="0"/>
                <w:color w:val="8A0000"/>
                <w:sz w:val="19"/>
              </w:rPr>
              <w:t>0</w:t>
            </w:r>
          </w:p>
        </w:tc>
        <w:tc>
          <w:tcPr>
            <w:tcW w:type="dxa" w:w="1296"/>
            <w:shd w:val="clear" w:fill="FCEBEB"/>
          </w:tcPr>
          <w:p>
            <w:pPr>
              <w:spacing w:after="0"/>
            </w:pPr>
            <w:r/>
            <w:r>
              <w:rPr>
                <w:b w:val="0"/>
                <w:color w:val="8A0000"/>
                <w:sz w:val="19"/>
              </w:rPr>
              <w:t>0.0%</w:t>
            </w:r>
          </w:p>
        </w:tc>
        <w:tc>
          <w:tcPr>
            <w:tcW w:type="dxa" w:w="3312"/>
            <w:shd w:val="clear" w:fill="FCEBEB"/>
          </w:tcPr>
          <w:p>
            <w:pPr>
              <w:spacing w:after="0"/>
            </w:pPr>
            <w:r/>
            <w:r>
              <w:rPr>
                <w:b w:val="0"/>
                <w:color w:val="8A0000"/>
                <w:sz w:val="19"/>
              </w:rPr>
              <w:t>None</w:t>
            </w:r>
          </w:p>
        </w:tc>
      </w:tr>
    </w:tbl>
    <w:p>
      <w:pPr>
        <w:spacing w:after="80"/>
        <w:jc w:val="both"/>
      </w:pPr>
      <w:r>
        <w:rPr>
          <w:b w:val="0"/>
          <w:i w:val="0"/>
          <w:sz w:val="22"/>
        </w:rPr>
      </w:r>
    </w:p>
    <w:p>
      <w:pPr>
        <w:spacing w:after="140"/>
        <w:jc w:val="both"/>
      </w:pPr>
      <w:r>
        <w:rPr>
          <w:b w:val="0"/>
          <w:i w:val="0"/>
          <w:sz w:val="22"/>
        </w:rPr>
        <w:t xml:space="preserve">The dominant reasons a survivor reached Stage 4 without being fabricated were: (i) publication in a non-indexed regional journal (Chinese, Indonesian, Indian, African, Turkish, Korean, and others); (ii) </w:t>
      </w:r>
      <w:r>
        <w:rPr>
          <w:b/>
          <w:i w:val="0"/>
          <w:sz w:val="22"/>
        </w:rPr>
        <w:t>matcher false negatives</w:t>
      </w:r>
      <w:r>
        <w:rPr>
          <w:b w:val="0"/>
          <w:i w:val="0"/>
          <w:sz w:val="22"/>
        </w:rPr>
        <w:t xml:space="preserve"> — real works with a DOI in Crossref whose citation string was mutilated or title-first; (iii) publication in delisted/predatory venues; and (iv) author-only citations carrying no title. We therefore find no evidence of fabricated references in this sample, and read the true prevalence as effectively zero here, with the raw survivor count almost entirely explained by invisible scholarship and matching failure.</w:t>
      </w:r>
    </w:p>
    <w:p>
      <w:pPr>
        <w:pStyle w:val="Heading2"/>
      </w:pPr>
      <w:r>
        <w:t>3.6 Retracted works cited as valid, and the duplicate-DOI blind spot</w:t>
      </w:r>
    </w:p>
    <w:p>
      <w:pPr>
        <w:spacing w:after="140"/>
        <w:jc w:val="both"/>
      </w:pPr>
      <w:r>
        <w:rPr>
          <w:b w:val="0"/>
          <w:i w:val="0"/>
          <w:sz w:val="22"/>
        </w:rPr>
        <w:t>No retracted works appeared in the 5,000-reference sample, consistent with their rarity in absolute terms. The methodological finding of Section 2.4 stands independently: DOI-only retraction checks can silently pass retracted works that carry duplicate DOI registrations.</w:t>
      </w:r>
    </w:p>
    <w:p>
      <w:pPr>
        <w:spacing w:after="140"/>
        <w:ind w:left="216"/>
        <w:shd w:val="clear" w:fill="FFF3CD"/>
        <w:pBdr>
          <w:left w:val="single" w:sz="18" w:space="6" w:color="E0A800"/>
        </w:pBdr>
      </w:pPr>
      <w:r>
        <w:rPr>
          <w:b/>
          <w:color w:val="8A6D00"/>
          <w:sz w:val="18"/>
        </w:rPr>
        <w:t xml:space="preserve">DRAFTING NOTE  </w:t>
      </w:r>
      <w:r>
        <w:rPr>
          <w:i/>
          <w:color w:val="6B5900"/>
          <w:sz w:val="18"/>
        </w:rPr>
        <w:t>3.5 reports an UPPER BOUND (zero confirmed in 101), not a point estimate with a CI. For Q1, state the Rule-of-Three bound explicitly (0/101 ⇒ 95% one-sided upper bound ≈ 3% of survivors ≈ 0.25% of the sample) and position the powered, large-scale prevalence estimate as future work / a second paper.</w:t>
      </w:r>
    </w:p>
    <w:p>
      <w:pPr>
        <w:pStyle w:val="Heading1"/>
      </w:pPr>
      <w:r>
        <w:t>4. Discussion</w:t>
      </w:r>
    </w:p>
    <w:p>
      <w:pPr>
        <w:spacing w:after="140"/>
        <w:jc w:val="both"/>
      </w:pPr>
      <w:r>
        <w:rPr>
          <w:b w:val="0"/>
          <w:i w:val="0"/>
          <w:sz w:val="22"/>
        </w:rPr>
        <w:t>Our central result reframes the hallucinated-reference problem. In a multidisciplinary sample, the prevalence of genuinely fabricated references is not merely low — it is undetectable without a verification pipeline whose main job is to strip away two large confounders. The first is the fragility of citation matching: abbreviated journal names, title-first citations, and author-only styles defeat automated resolution even for papers in Nature or Physical Review D. The second is the invisibility of a substantial body of legitimate scholarship — regional, non-English, and delisted journals — to the major bibliographic databases.</w:t>
      </w:r>
    </w:p>
    <w:p>
      <w:pPr>
        <w:spacing w:after="140"/>
        <w:jc w:val="both"/>
      </w:pPr>
      <w:r>
        <w:rPr>
          <w:b w:val="0"/>
          <w:i w:val="0"/>
          <w:sz w:val="22"/>
        </w:rPr>
        <w:t>These findings carry a direct warning for the emerging market of automated citation-checking tools: any system that equates “not found” with “fabricated” will report false-positive rates that dwarf the true signal, disproportionately flagging scholarship from the Global South and from smaller venues. The methodological contribution of this work is therefore less a prevalence number than a demonstration of why that number cannot be read off unvalidated detection, and a taxonomy — recoverable, erroneous, non-indexed, mutilated, fabricated — that a credible tool must implement.</w:t>
      </w:r>
    </w:p>
    <w:p>
      <w:pPr>
        <w:spacing w:after="140"/>
        <w:jc w:val="both"/>
      </w:pPr>
      <w:r>
        <w:rPr>
          <w:b w:val="0"/>
          <w:i w:val="0"/>
          <w:sz w:val="22"/>
        </w:rPr>
        <w:t>We also surface a distinct data-quality category that merits its own name: the mutilated citation — a reference to a real work rendered unmatchable by extreme abbreviation. Distinguishing it from both fabrication and invisibility is necessary for any accurate accounting of citation integrity.</w:t>
      </w:r>
    </w:p>
    <w:p>
      <w:pPr>
        <w:pStyle w:val="Heading2"/>
      </w:pPr>
      <w:r>
        <w:t>4.1 Limitations</w:t>
      </w:r>
    </w:p>
    <w:p>
      <w:pPr>
        <w:pStyle w:val="ListBullet"/>
        <w:spacing w:after="80"/>
      </w:pPr>
      <w:r>
        <w:rPr>
          <w:sz w:val="22"/>
        </w:rPr>
        <w:t>Open-reference bias: journals depositing open references are more rigorous, so prevalence here is a lower bound.</w:t>
      </w:r>
    </w:p>
    <w:p>
      <w:pPr>
        <w:pStyle w:val="ListBullet"/>
        <w:spacing w:after="80"/>
      </w:pPr>
      <w:r>
        <w:rPr>
          <w:sz w:val="22"/>
        </w:rPr>
        <w:t>Language/matching bias: the matcher underperforms on non-Latin-script and author-only citations, inflating the ambiguous class.</w:t>
      </w:r>
    </w:p>
    <w:p>
      <w:pPr>
        <w:pStyle w:val="ListBullet"/>
        <w:spacing w:after="80"/>
      </w:pPr>
      <w:r>
        <w:rPr>
          <w:sz w:val="22"/>
        </w:rPr>
        <w:t>Sample size: with zero fabrications observed, only an upper bound on prevalence can be stated; a point estimate requires a far larger sample.</w:t>
      </w:r>
    </w:p>
    <w:p>
      <w:pPr>
        <w:pStyle w:val="ListBullet"/>
        <w:spacing w:after="80"/>
      </w:pPr>
      <w:r>
        <w:rPr>
          <w:sz w:val="22"/>
        </w:rPr>
        <w:t>No PDF parsing: we rely on deposited reference strings, not the full text of citing articles.</w:t>
      </w:r>
    </w:p>
    <w:p>
      <w:pPr>
        <w:pStyle w:val="Heading1"/>
      </w:pPr>
      <w:r>
        <w:t>5. Conclusion</w:t>
      </w:r>
    </w:p>
    <w:p>
      <w:pPr>
        <w:spacing w:after="140"/>
        <w:jc w:val="both"/>
      </w:pPr>
      <w:r>
        <w:rPr>
          <w:b w:val="0"/>
          <w:i w:val="0"/>
          <w:sz w:val="22"/>
        </w:rPr>
        <w:t>Fabricated references are, on present evidence, a much smaller problem than unvalidated detection implies. What looks like fabrication in the citation record is overwhelmingly real scholarship made invisible by indexing gaps and by brittle citation matching. A credible integrity tool — and a credible prevalence estimate — must separate these populations rather than collapse them. We provide such a tool, an annotated benchmark, and a taxonomy, and we position a large-scale prevalence estimate, powered to observe positive cases, as the natural next step.</w:t>
      </w:r>
    </w:p>
    <w:p>
      <w:pPr>
        <w:pStyle w:val="Heading1"/>
      </w:pPr>
      <w:r>
        <w:t>Data and Code Availability</w:t>
      </w:r>
    </w:p>
    <w:p>
      <w:pPr>
        <w:spacing w:after="140"/>
        <w:jc w:val="both"/>
      </w:pPr>
      <w:r>
        <w:rPr>
          <w:b w:val="0"/>
          <w:i w:val="0"/>
          <w:sz w:val="22"/>
        </w:rPr>
        <w:t xml:space="preserve">The verification code, the 5,000 sampled references with citing-article provenance, the full cascade output, and the annotated 101-reference survivor set are openly available at </w:t>
      </w:r>
      <w:r>
        <w:rPr>
          <w:b/>
          <w:i w:val="0"/>
          <w:sz w:val="22"/>
        </w:rPr>
        <w:t>github.com/danielaristo/reference-integrity-checker</w:t>
      </w:r>
      <w:r>
        <w:rPr>
          <w:b w:val="0"/>
          <w:i w:val="0"/>
          <w:sz w:val="22"/>
        </w:rPr>
        <w:t xml:space="preserve">. A free, no-installation web application implementing Stages 1–2 of the cascade is publicly available at </w:t>
      </w:r>
      <w:r>
        <w:rPr>
          <w:b/>
          <w:i w:val="0"/>
          <w:sz w:val="22"/>
        </w:rPr>
        <w:t>danielaristo.com/reference-integrity-checker</w:t>
      </w:r>
      <w:r>
        <w:rPr>
          <w:b w:val="0"/>
          <w:i w:val="0"/>
          <w:sz w:val="22"/>
        </w:rPr>
        <w:t xml:space="preserve"> for authors, editors, and reviewers to screen bibliographies before publication.</w:t>
      </w:r>
    </w:p>
    <w:p>
      <w:pPr>
        <w:pStyle w:val="Heading1"/>
      </w:pPr>
      <w:r>
        <w:t>References</w:t>
      </w:r>
    </w:p>
    <w:p>
      <w:pPr>
        <w:spacing w:after="140"/>
        <w:jc w:val="both"/>
      </w:pPr>
      <w:r>
        <w:rPr>
          <w:b w:val="0"/>
          <w:i/>
          <w:color w:val="595959"/>
          <w:sz w:val="22"/>
        </w:rPr>
        <w:t>[To be completed. Every entry must be verified with the cascade before inclusion — no reference cited from memory. Candidate anchors: OpenAlex (Priem, Piwowar &amp; Orr 2022); the arXiv hallucinated-citation prevalence study; the Lancet commentary; a Crossref/citation-matching infrastructure reference; VOSviewer and Bibliometrix as tool-paper precedents.]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C8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