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40"/>
        <w:jc w:val="center"/>
      </w:pPr>
      <w:r>
        <w:rPr>
          <w:b w:val="0"/>
          <w:i/>
          <w:color w:val="595959"/>
          <w:sz w:val="18"/>
        </w:rPr>
        <w:t>D. Aristizábal Torres and A. M. Barrera Rodríguez contributed equally to this work.</w:t>
      </w:r>
    </w:p>
    <w:p>
      <w:pPr>
        <w:spacing w:after="20"/>
        <w:jc w:val="center"/>
      </w:pPr>
      <w:r>
        <w:rPr>
          <w:b w:val="0"/>
          <w:i/>
          <w:color w:val="595959"/>
          <w:sz w:val="20"/>
        </w:rPr>
        <w:t>¹ Facultad de Ingeniería, Universidad Libre Seccional Pereira, Pereira, Colombia</w:t>
      </w:r>
    </w:p>
    <w:p>
      <w:pPr>
        <w:spacing w:after="20"/>
        <w:jc w:val="center"/>
      </w:pPr>
      <w:r>
        <w:rPr>
          <w:b w:val="0"/>
          <w:i/>
          <w:color w:val="595959"/>
          <w:sz w:val="20"/>
        </w:rPr>
        <w:t>² Facultad de Ciencias Económicas, Administrativas y Contables, Universidad Libre Seccional Pereira, Pereira, Colombia</w:t>
      </w:r>
    </w:p>
    <w:p>
      <w:pPr>
        <w:spacing w:after="20"/>
        <w:jc w:val="center"/>
      </w:pPr>
      <w:r>
        <w:rPr>
          <w:b w:val="0"/>
          <w:i/>
          <w:color w:val="595959"/>
          <w:sz w:val="20"/>
        </w:rPr>
        <w:t>³ Facultad de Mecánica Aplicada, Universidad Tecnológica de Pereira, Pereira, Colombia</w:t>
      </w:r>
    </w:p>
    <w:p>
      <w:pPr>
        <w:spacing w:after="40"/>
        <w:jc w:val="center"/>
      </w:pPr>
      <w:r>
        <w:rPr>
          <w:b w:val="0"/>
          <w:i/>
          <w:color w:val="595959"/>
          <w:sz w:val="20"/>
        </w:rPr>
        <w:t>⁴ Facultad de Educación, Comunicación y Humanidades, Universidad Nacional Jorge Basadre Grohmann, Tacna, Perú</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[email — to confirm]</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spot "tortured phrases" -- odd synonym-swapped wording used to dodge plagiarism checks (</w:t>
      </w:r>
      <w:r>
        <w:rPr>
          <w:b w:val="0"/>
          <w:i w:val="0"/>
          <w:sz w:val="22"/>
        </w:rPr>
        <w:t>Cabanac et al.,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and Semantic Scholar (</w:t>
      </w:r>
      <w:r>
        <w:rPr>
          <w:b w:val="0"/>
          <w:i w:val="0"/>
          <w:sz w:val="22"/>
        </w:rPr>
        <w:t>Kinney et al., 2023</w:t>
      </w:r>
      <w:r>
        <w:rPr>
          <w:b w:val="0"/>
          <w:i w:val="0"/>
          <w:sz w:val="22"/>
        </w:rPr>
        <w:t>) replaced Microsoft Academic Graph with open, large-scale indexes, and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et al.,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3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3.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1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1.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2: 80.2% turned out to be real, 9.9% were author-only citations with nothing to search on, 9.9% were real-looking journals we could not confirm online, and none were confirmed fabricated.</w:t>
      </w:r>
    </w:p>
    <w:p>
      <w:pPr>
        <w:spacing w:after="80"/>
        <w:jc w:val="both"/>
      </w:pPr>
      <w:r>
        <w:rPr>
          <w:b w:val="0"/>
          <w:i/>
          <w:sz w:val="19"/>
        </w:rPr>
        <w:t>Table 2.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