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40"/>
        <w:jc w:val="center"/>
      </w:pPr>
      <w:r>
        <w:rPr>
          <w:b w:val="0"/>
          <w:i/>
          <w:color w:val="595959"/>
          <w:sz w:val="18"/>
        </w:rPr>
        <w:t>D. Aristizábal Torres and A. M. Barrera Rodríguez contributed equally to this work.</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daniel.aristizabalt@unilibre.edu.co (ORCID 0000-0002-6552-2585)  ·  anam.barrerar@unilibre.edu.co (ORCID 0000-0003-4949-6118)  ·  c.amariles@utp.edu.co (ORCID 0000-0002-9858-2795)</w:t>
      </w:r>
    </w:p>
    <w:p>
      <w:pPr>
        <w:spacing w:after="20"/>
        <w:jc w:val="center"/>
      </w:pPr>
      <w:r>
        <w:rPr>
          <w:b w:val="0"/>
          <w:i w:val="0"/>
          <w:color w:val="595959"/>
          <w:sz w:val="18"/>
        </w:rPr>
        <w:t>alejandro.alzateb@unilibre.edu.co (ORCID 0000-0002-2504-0653)  ·  [Juan Quinteros Escobar's email — to confirm] (ORCID 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stylistic fingerprints such as "tortured phrases" (</w:t>
      </w:r>
      <w:r>
        <w:rPr>
          <w:b w:val="0"/>
          <w:i w:val="0"/>
          <w:sz w:val="22"/>
        </w:rPr>
        <w:t>Cabanac, Labbé, &amp; Magazinov,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Kinney et al., 2023</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Labbé, &amp; Magazinov,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