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built to screen the literature for nonsensical, algorithmically generated papers that nonetheless passed peer review (</w:t>
      </w:r>
      <w:r>
        <w:rPr>
          <w:b w:val="0"/>
          <w:i w:val="0"/>
          <w:sz w:val="22"/>
        </w:rPr>
        <w:t>Cabanac &amp; Labbé,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replaced Microsoft Academic Graph (</w:t>
      </w:r>
      <w:r>
        <w:rPr>
          <w:b w:val="0"/>
          <w:i w:val="0"/>
          <w:sz w:val="22"/>
        </w:rPr>
        <w:t>Priem et al., 2022</w:t>
      </w:r>
      <w:r>
        <w:rPr>
          <w:b w:val="0"/>
          <w:i w:val="0"/>
          <w:sz w:val="22"/>
        </w:rPr>
        <w:t>), and the Semantic Scholar Academic Graph independently built a comparably open, large-scale index (</w:t>
      </w:r>
      <w:r>
        <w:rPr>
          <w:b w:val="0"/>
          <w:i w:val="0"/>
          <w:sz w:val="22"/>
        </w:rPr>
        <w:t>Ammar et al., 2018</w:t>
      </w:r>
      <w:r>
        <w:rPr>
          <w:b w:val="0"/>
          <w:i w:val="0"/>
          <w:sz w:val="22"/>
        </w:rPr>
        <w:t>); the OpenCitations infrastructure has separately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&amp; Labbé,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 This verification was conducted by a single annotator; Section 6 discusses the implications of this design choice for the reliability of the resulting counts.</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3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unverified — cause unknown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val="0"/>
                <w:sz w:val="19"/>
              </w:rPr>
              <w:t xml:space="preserve">    ↳ Article-shaped subset (of the 3,124 not verifiable)</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shd w:val="clear" w:fill="EAF1FA"/>
          </w:tcPr>
          <w:p>
            <w:pPr>
              <w:spacing w:after="0"/>
            </w:pPr>
            <w:r/>
            <w:r>
              <w:rPr>
                <w:b w:val="0"/>
                <w:sz w:val="19"/>
              </w:rPr>
              <w:t xml:space="preserve">        ↳ Found in Semantic Scholar (non-indexed)</w:t>
            </w:r>
          </w:p>
        </w:tc>
        <w:tc>
          <w:tcPr>
            <w:tcW w:type="dxa" w:w="1224"/>
            <w:shd w:val="clear" w:fill="EAF1FA"/>
          </w:tcPr>
          <w:p>
            <w:pPr>
              <w:spacing w:after="0"/>
            </w:pPr>
            <w:r/>
            <w:r>
              <w:rPr>
                <w:b w:val="0"/>
                <w:sz w:val="19"/>
              </w:rPr>
              <w:t>96</w:t>
            </w:r>
          </w:p>
        </w:tc>
        <w:tc>
          <w:tcPr>
            <w:tcW w:type="dxa" w:w="1368"/>
            <w:shd w:val="clear" w:fill="EAF1FA"/>
          </w:tcPr>
          <w:p>
            <w:pPr>
              <w:spacing w:after="0"/>
            </w:pPr>
            <w:r/>
            <w:r>
              <w:rPr>
                <w:b w:val="0"/>
                <w:sz w:val="19"/>
              </w:rPr>
              <w:t>1.9%</w:t>
            </w:r>
          </w:p>
        </w:tc>
        <w:tc>
          <w:tcPr>
            <w:tcW w:type="dxa" w:w="3024"/>
            <w:shd w:val="clear" w:fill="EAF1FA"/>
          </w:tcPr>
          <w:p>
            <w:pPr>
              <w:spacing w:after="0"/>
            </w:pPr>
            <w:r/>
            <w:r>
              <w:rPr>
                <w:b w:val="0"/>
                <w:sz w:val="19"/>
              </w:rPr>
              <w:t>Real works outside Crossref/OpenAlex</w:t>
            </w:r>
          </w:p>
        </w:tc>
      </w:tr>
      <w:tr>
        <w:tc>
          <w:tcPr>
            <w:tcW w:type="dxa" w:w="3600"/>
            <w:shd w:val="clear" w:fill="EAF1FA"/>
          </w:tcPr>
          <w:p>
            <w:pPr>
              <w:spacing w:after="0"/>
            </w:pPr>
            <w:r/>
            <w:r>
              <w:rPr>
                <w:b/>
                <w:sz w:val="19"/>
              </w:rPr>
              <w:t xml:space="preserve">        ↳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2: 80.2% were confirmed to exist, 9.9% were author-only citations unverifiable by design, 9.9% were ambiguous (plausible journals not traceable via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spacing w:after="140"/>
        <w:jc w:val="both"/>
      </w:pPr>
      <w:r>
        <w:rPr>
          <w:b w:val="0"/>
          <w:i w:val="0"/>
          <w:sz w:val="22"/>
        </w:rPr>
        <w:t>This result is properly read as an upper bound rather than a point estimate, and, strictly, as a bound on the subset it was measured on. With zero fabrications confirmed among the 101 independently checked post-2020 survivors, the Rule of Three gives a one-sided 95% upper bound of approximately 3% for that subset. Extending this bound to the full 421-survivor population, and hence to approximately 0.25% of the original 5,000-reference sample, additionally assumes that the 320 untested pre-2020 survivors carry no higher a fabrication risk than the post-2020 subset that was actually checked; we consider this a conservative assumption, since these earlier references predate the wide availability of generative language models capable of producing fabricated citations at scale, but we did not verify it directly. A point estimate with a narrower confidence interval covering the full survivor population would require a substantially larger sample, powered to observe a small number of positive cases; we treat this as the natural target for a follow-up study rather than a claim this dataset can support.</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A credible screening tool, and a credible prevalence estimate, both depend on distinguishing non-existence from invisibility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Author lists are truncated to the first author plus "et al." beyond four names; full author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Ammar, W., Groeneveld, D., Bhagavatula, C., et al. (2018). Construction of the literature graph in Semantic Scholar. Proceedings of NAACL-HLT 2018, Industry Papers, 84–91. https://doi.org/10.18653/v1/n18-3011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&amp; Labbé, C. (2021). Prevalence of nonsensical algorithmically generated papers in the scientific literature. Journal of the Association for Information Science and Technology, 72(12), 1461–1476. https://doi.org/10.1002/asi.24495</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