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Fabricated or just invisible? A four-source verification cascade for estimating the prevalence of hallucinated references in the scholarly literature</w:t>
      </w:r>
    </w:p>
    <w:p>
      <w:pPr>
        <w:spacing w:after="60"/>
        <w:jc w:val="center"/>
      </w:pPr>
      <w:r>
        <w:rPr>
          <w:b w:val="0"/>
          <w:i w:val="0"/>
          <w:sz w:val="24"/>
        </w:rPr>
        <w:t>Daniel Aristizábal Torres¹, Ana María Barrera Rodríguez², Cristhian Camilo Amariles López³, Alejandro Alzate Buitrago¹, and Juan Quinteros Escobar⁴</w:t>
      </w:r>
    </w:p>
    <w:p>
      <w:pPr>
        <w:spacing w:after="20"/>
        <w:jc w:val="center"/>
      </w:pPr>
      <w:r>
        <w:rPr>
          <w:b w:val="0"/>
          <w:i/>
          <w:color w:val="595959"/>
          <w:sz w:val="20"/>
        </w:rPr>
        <w:t>¹ Faculty of Engineering, Universidad Libre Seccional Pereira, Pereira, Colombia</w:t>
      </w:r>
    </w:p>
    <w:p>
      <w:pPr>
        <w:spacing w:after="20"/>
        <w:jc w:val="center"/>
      </w:pPr>
      <w:r>
        <w:rPr>
          <w:b w:val="0"/>
          <w:i/>
          <w:color w:val="595959"/>
          <w:sz w:val="20"/>
        </w:rPr>
        <w:t>² Faculty of Economic, Administrative and Accounting Sciences, Universidad Libre Seccional Pereira, Pereira, Colombia</w:t>
      </w:r>
    </w:p>
    <w:p>
      <w:pPr>
        <w:spacing w:after="20"/>
        <w:jc w:val="center"/>
      </w:pPr>
      <w:r>
        <w:rPr>
          <w:b w:val="0"/>
          <w:i/>
          <w:color w:val="595959"/>
          <w:sz w:val="20"/>
        </w:rPr>
        <w:t>³ Faculty of Applied Mechanical Engineering, Universidad Tecnológica de Pereira, Pereira, Colombia</w:t>
      </w:r>
    </w:p>
    <w:p>
      <w:pPr>
        <w:spacing w:after="40"/>
        <w:jc w:val="center"/>
      </w:pPr>
      <w:r>
        <w:rPr>
          <w:b w:val="0"/>
          <w:i/>
          <w:color w:val="595959"/>
          <w:sz w:val="20"/>
        </w:rPr>
        <w:t>⁴ Faculty of Education, Communication and Humanities, Universidad Nacional Jorge Basadre Grohmann, Tacna, Peru</w:t>
      </w:r>
    </w:p>
    <w:p>
      <w:pPr>
        <w:spacing w:after="20"/>
        <w:jc w:val="center"/>
      </w:pPr>
      <w:r>
        <w:rPr>
          <w:b w:val="0"/>
          <w:i w:val="0"/>
          <w:color w:val="595959"/>
          <w:sz w:val="18"/>
        </w:rPr>
        <w:t>daniel.aristizabalt@unilibre.edu.co (ORCID 0000-0002-6552-2585)  ·  anam.barrerar@unilibre.edu.co (ORCID 0000-0003-4949-6118)  ·  c.amariles@utp.edu.co (ORCID 0000-0002-9858-2795)</w:t>
      </w:r>
    </w:p>
    <w:p>
      <w:pPr>
        <w:spacing w:after="20"/>
        <w:jc w:val="center"/>
      </w:pPr>
      <w:r>
        <w:rPr>
          <w:b w:val="0"/>
          <w:i w:val="0"/>
          <w:color w:val="595959"/>
          <w:sz w:val="18"/>
        </w:rPr>
        <w:t>alejandro.alzateb@unilibre.edu.co (ORCID 0000-0002-2504-0653)  ·  jquinterose@unjbg.edu.pe (ORCID 0000-0002-9696-8379)</w:t>
      </w:r>
    </w:p>
    <w:p>
      <w:pPr>
        <w:spacing w:after="60"/>
        <w:jc w:val="center"/>
      </w:pPr>
      <w:r>
        <w:rPr>
          <w:b w:val="0"/>
          <w:i w:val="0"/>
          <w:color w:val="595959"/>
          <w:sz w:val="18"/>
        </w:rPr>
        <w:t>Code and tool: github.com/danielaristo/reference-integrity-checker</w:t>
      </w:r>
    </w:p>
    <w:p>
      <w:pPr>
        <w:spacing w:after="200"/>
        <w:jc w:val="center"/>
      </w:pPr>
      <w:r>
        <w:rPr>
          <w:b w:val="0"/>
          <w:i/>
          <w:color w:val="A00000"/>
          <w:sz w:val="18"/>
        </w:rPr>
        <w:t>Target journal: Quantitative Science Studies (Q1) — alt.: Journal of Informetrics · Working draft v0.1</w:t>
      </w:r>
    </w:p>
    <w:p>
      <w:pPr>
        <w:spacing w:before="60" w:after="40"/>
        <w:pBdr>
          <w:top w:val="single" w:sz="6" w:space="3" w:color="1F4E79"/>
          <w:bottom w:val="single" w:sz="6" w:space="3" w:color="1F4E79"/>
        </w:pBdr>
      </w:pPr>
      <w:r>
        <w:rPr>
          <w:b/>
          <w:sz w:val="22"/>
        </w:rPr>
        <w:t>Abstract</w:t>
      </w:r>
    </w:p>
    <w:p>
      <w:pPr>
        <w:spacing w:after="140"/>
        <w:jc w:val="both"/>
      </w:pPr>
      <w:r>
        <w:rPr>
          <w:b w:val="0"/>
          <w:i w:val="0"/>
          <w:sz w:val="22"/>
        </w:rPr>
        <w:t xml:space="preserve">The rise of large language models has raised alarm about </w:t>
      </w:r>
      <w:r>
        <w:rPr>
          <w:b w:val="0"/>
          <w:i/>
          <w:sz w:val="22"/>
        </w:rPr>
        <w:t>hallucinated</w:t>
      </w:r>
      <w:r>
        <w:rPr>
          <w:b w:val="0"/>
          <w:i w:val="0"/>
          <w:sz w:val="22"/>
        </w:rPr>
        <w:t xml:space="preserve"> references — plausible-looking citations to works that do not exist. We ask how prevalent such references actually are in the recent published literature, and show that answering this requires separating genuine fabrication from two confounders that naïve detectors conflate with it: legitimate scholarship in non-indexed venues, and real works rendered unmatchable by abbreviated or malformed citation strings. We develop a reproducible four-source verification cascade (Crossref → OpenAlex → Semantic Scholar → human review) and apply it to 5,000 unresolved reference strings drawn from ~1,200 randomly selected 2024 journal articles with open reference lists. Of these, 25.2% are recovered as real works the standard matcher had missed, 12.3% carry erroneous metadata, and 62.5% are absent from the two largest databases; 517 of the latter have journal-article form. After a third automated layer and exhaustive manual verification of the 101 most recent (post-2020) survivors, we confirm zero fabricated references: every survivor is a real work in a non-indexed venue, a real work with a mutilated citation, or an author-only citation unverifiable by design. We conclude that the raw prevalence of hallucinated references is far lower than unvalidated detection suggests, and that the dominant signal in “unverifiable” citations is the fragility of citation matching and the invisibility of regional scholarship — not fabrication. </w:t>
      </w:r>
      <w:r>
        <w:rPr>
          <w:b w:val="0"/>
          <w:i/>
          <w:color w:val="A00000"/>
          <w:sz w:val="16"/>
        </w:rPr>
        <w:t>[205 words; trim to ≤200 for QSS.]</w:t>
      </w:r>
    </w:p>
    <w:p>
      <w:pPr>
        <w:spacing w:after="140"/>
        <w:jc w:val="both"/>
      </w:pPr>
      <w:r>
        <w:rPr>
          <w:b/>
          <w:i w:val="0"/>
          <w:sz w:val="22"/>
        </w:rPr>
        <w:t xml:space="preserve">Keywords: </w:t>
      </w:r>
      <w:r>
        <w:rPr>
          <w:b w:val="0"/>
          <w:i/>
          <w:sz w:val="22"/>
        </w:rPr>
        <w:t>reference verification; citation integrity; hallucinated references; large language models; open bibliographic databases; scholarly data infrastructure</w:t>
      </w:r>
    </w:p>
    <w:p>
      <w:r>
        <w:br w:type="page"/>
      </w:r>
    </w:p>
    <w:p>
      <w:pPr>
        <w:pStyle w:val="Heading1"/>
      </w:pPr>
      <w:r>
        <w:t>1. Introduction</w:t>
      </w:r>
    </w:p>
    <w:p>
      <w:pPr>
        <w:spacing w:after="140"/>
        <w:jc w:val="both"/>
      </w:pPr>
      <w:r>
        <w:rPr>
          <w:b w:val="0"/>
          <w:i w:val="0"/>
          <w:sz w:val="22"/>
        </w:rPr>
        <w:t xml:space="preserve">The widespread adoption of large language models (LLMs) in scholarly writing has produced a new failure mode in the citation record: references that are fluent, correctly formatted, and entirely fictitious. Hallucination — the generation of fluent but unsupported or false content — is a well-documented general property of LLMs and other neural text generators, not a peripheral bug (Ji et al., 2023). In the specific case of bibliographic references, the phenomenon has now been quantified directly: in a systematic test of ChatGPT-generated reference lists across clinical topics, </w:t>
      </w:r>
      <w:r>
        <w:rPr>
          <w:b w:val="0"/>
          <w:i w:val="0"/>
          <w:sz w:val="22"/>
        </w:rPr>
        <w:t>Walters and Wilder (2023)</w:t>
      </w:r>
      <w:r>
        <w:rPr>
          <w:b w:val="0"/>
          <w:i w:val="0"/>
          <w:sz w:val="22"/>
        </w:rPr>
        <w:t xml:space="preserve"> found that 55% of GPT-3.5 citations and 18% of GPT-4 citations were entirely fabricated, with a further large share of the nominally real citations containing substantive errors. </w:t>
      </w:r>
      <w:r>
        <w:rPr>
          <w:b w:val="0"/>
          <w:i w:val="0"/>
          <w:sz w:val="22"/>
        </w:rPr>
        <w:t>Emsley (2023)</w:t>
      </w:r>
      <w:r>
        <w:rPr>
          <w:b w:val="0"/>
          <w:i w:val="0"/>
          <w:sz w:val="22"/>
        </w:rPr>
        <w:t xml:space="preserve"> argued that the term "hallucination" itself understates the problem — that fluent, confident invention of nonexistent sources is better described as fabrication and falsification, a framing this paper adopts. The phenomenon is not confined to biomedicine or to informal use: </w:t>
      </w:r>
      <w:r>
        <w:rPr>
          <w:b w:val="0"/>
          <w:i w:val="0"/>
          <w:sz w:val="22"/>
        </w:rPr>
        <w:t>Dahl et al. (2024)</w:t>
      </w:r>
      <w:r>
        <w:rPr>
          <w:b w:val="0"/>
          <w:i w:val="0"/>
          <w:sz w:val="22"/>
        </w:rPr>
        <w:t xml:space="preserve"> documented comparably high hallucination rates when LLMs were queried on legal facts and case citations, and reported dozens of real cases in which lawyers, and even judges, filed court documents containing fabricated case law. Reference fabrication by LLMs therefore appears to be a general, cross-disciplinary property of these systems rather than an artifact of any one domain, model, or prompting style. In a further twist, LLMs are themselves being tested as tools for detecting citation and quotation errors in the scientific literature, with promising but imperfect accuracy (</w:t>
      </w:r>
      <w:r>
        <w:rPr>
          <w:b w:val="0"/>
          <w:i w:val="0"/>
          <w:sz w:val="22"/>
        </w:rPr>
        <w:t>Zhang &amp; Abernethy, 2024</w:t>
      </w:r>
      <w:r>
        <w:rPr>
          <w:b w:val="0"/>
          <w:i w:val="0"/>
          <w:sz w:val="22"/>
        </w:rPr>
        <w:t>); the cascade developed here takes a complementary, deterministic approach, verifying references against source databases rather than relying on a model's own judgment.</w:t>
      </w:r>
    </w:p>
    <w:p>
      <w:pPr>
        <w:spacing w:after="140"/>
        <w:jc w:val="both"/>
      </w:pPr>
      <w:r>
        <w:rPr>
          <w:b w:val="0"/>
          <w:i w:val="0"/>
          <w:sz w:val="22"/>
        </w:rPr>
        <w:t>Citation integrity, however, was already a fragile part of the scholarly record before LLMs. Long before generative AI, systematic reviews of the biomedical literature found quotation error rates — citations that misrepresent or fail to support the claim they are attached to — in the range of 10–25% (</w:t>
      </w:r>
      <w:r>
        <w:rPr>
          <w:b w:val="0"/>
          <w:i w:val="0"/>
          <w:sz w:val="22"/>
        </w:rPr>
        <w:t>Jergas &amp; Baethge, 2015</w:t>
      </w:r>
      <w:r>
        <w:rPr>
          <w:b w:val="0"/>
          <w:i w:val="0"/>
          <w:sz w:val="22"/>
        </w:rPr>
        <w:t>), and the wider methodological literature on irreproducibility (</w:t>
      </w:r>
      <w:r>
        <w:rPr>
          <w:b w:val="0"/>
          <w:i w:val="0"/>
          <w:sz w:val="22"/>
        </w:rPr>
        <w:t>Ioannidis, 2005</w:t>
      </w:r>
      <w:r>
        <w:rPr>
          <w:b w:val="0"/>
          <w:i w:val="0"/>
          <w:sz w:val="22"/>
        </w:rPr>
        <w:t>) had already established that a substantial share of the published record cannot be trusted at face value. Retractions, the most visible correction mechanism, are also at record levels and rising: more than 10,000 papers were retracted in 2023 alone, a two-and-a-half-fold jump from the previous year (</w:t>
      </w:r>
      <w:r>
        <w:rPr>
          <w:b w:val="0"/>
          <w:i w:val="0"/>
          <w:sz w:val="22"/>
        </w:rPr>
        <w:t>Van Noorden, 2023</w:t>
      </w:r>
      <w:r>
        <w:rPr>
          <w:b w:val="0"/>
          <w:i w:val="0"/>
          <w:sz w:val="22"/>
        </w:rPr>
        <w:t>), and retracted work continues to be cited as valid long after retraction, propagating errors forward through the literature. Organized fraud has scaled accordingly: so-called paper mills now produce fabricated manuscripts for profit at a volume that dedicated forensic tools — built to detect statistical anomalies, duplicated images, and papers nonsensical enough to have been algorithmically generated yet published nonetheless (</w:t>
      </w:r>
      <w:r>
        <w:rPr>
          <w:b w:val="0"/>
          <w:i w:val="0"/>
          <w:sz w:val="22"/>
        </w:rPr>
        <w:t>Cabanac &amp; Labbé, 2021</w:t>
      </w:r>
      <w:r>
        <w:rPr>
          <w:b w:val="0"/>
          <w:i w:val="0"/>
          <w:sz w:val="22"/>
        </w:rPr>
        <w:t>) — struggle to keep pace with (</w:t>
      </w:r>
      <w:r>
        <w:rPr>
          <w:b w:val="0"/>
          <w:i w:val="0"/>
          <w:sz w:val="22"/>
        </w:rPr>
        <w:t>Abalkina et al., 2025</w:t>
      </w:r>
      <w:r>
        <w:rPr>
          <w:b w:val="0"/>
          <w:i w:val="0"/>
          <w:sz w:val="22"/>
        </w:rPr>
        <w:t>). Citation counts themselves are gamed through coordinated "citation cartels" that inflate journal and author metrics without any underlying scholarly justification (</w:t>
      </w:r>
      <w:r>
        <w:rPr>
          <w:b w:val="0"/>
          <w:i w:val="0"/>
          <w:sz w:val="22"/>
        </w:rPr>
        <w:t>Kojaku, Livan, &amp; Masuda, 2021</w:t>
      </w:r>
      <w:r>
        <w:rPr>
          <w:b w:val="0"/>
          <w:i w:val="0"/>
          <w:sz w:val="22"/>
        </w:rPr>
        <w:t>), and the boundary between legitimate and predatory venues remains contested enough that the field has struggled to agree on a working definition of "predatory journal" at all (</w:t>
      </w:r>
      <w:r>
        <w:rPr>
          <w:b w:val="0"/>
          <w:i w:val="0"/>
          <w:sz w:val="22"/>
        </w:rPr>
        <w:t>Grudniewicz et al., 2019</w:t>
      </w:r>
      <w:r>
        <w:rPr>
          <w:b w:val="0"/>
          <w:i w:val="0"/>
          <w:sz w:val="22"/>
        </w:rPr>
        <w:t>). Against this backdrop, LLM-generated fabrication is best understood as an accelerant applied to an already-strained system of citation trust, not as a wholly novel pathology.</w:t>
      </w:r>
    </w:p>
    <w:p>
      <w:pPr>
        <w:spacing w:after="140"/>
        <w:jc w:val="both"/>
      </w:pPr>
      <w:r>
        <w:rPr>
          <w:b w:val="0"/>
          <w:i w:val="0"/>
          <w:sz w:val="22"/>
        </w:rPr>
        <w:t>A verification study is only as good as the infrastructure it verifies against, and that infrastructure has known, uneven coverage. The retirement of Microsoft Academic Graph was filled by OpenAlex, a fully open index of scholarly works, authors, venues, and institutions (</w:t>
      </w:r>
      <w:r>
        <w:rPr>
          <w:b w:val="0"/>
          <w:i w:val="0"/>
          <w:sz w:val="22"/>
        </w:rPr>
        <w:t>Priem, Piwowar, &amp; Orr, 2022</w:t>
      </w:r>
      <w:r>
        <w:rPr>
          <w:b w:val="0"/>
          <w:i w:val="0"/>
          <w:sz w:val="22"/>
        </w:rPr>
        <w:t>), and by the Semantic Scholar Academic Graph, which combines full-text extraction with citation-graph construction at a scale of hundreds of millions of papers (</w:t>
      </w:r>
      <w:r>
        <w:rPr>
          <w:b w:val="0"/>
          <w:i w:val="0"/>
          <w:sz w:val="22"/>
        </w:rPr>
        <w:t>Ammar et al., 2018</w:t>
      </w:r>
      <w:r>
        <w:rPr>
          <w:b w:val="0"/>
          <w:i w:val="0"/>
          <w:sz w:val="22"/>
        </w:rPr>
        <w:t>). The Initiative for Open Citations and the OpenCitations infrastructure have separately pushed publishers to release citation links as open, structured data rather than proprietary metadata (</w:t>
      </w:r>
      <w:r>
        <w:rPr>
          <w:b w:val="0"/>
          <w:i w:val="0"/>
          <w:sz w:val="22"/>
        </w:rPr>
        <w:t>Peroni &amp; Shotton, 2020</w:t>
      </w:r>
      <w:r>
        <w:rPr>
          <w:b w:val="0"/>
          <w:i w:val="0"/>
          <w:sz w:val="22"/>
        </w:rPr>
        <w:t>). Yet large-scale comparisons of these and other sources — Scopus, Web of Science, Dimensions, Crossref, and Microsoft Academic — find substantial, systematic differences in coverage by document type, discipline, and publication year (</w:t>
      </w:r>
      <w:r>
        <w:rPr>
          <w:b w:val="0"/>
          <w:i w:val="0"/>
          <w:sz w:val="22"/>
        </w:rPr>
        <w:t>Visser, van Eck, &amp; Waltman, 2021</w:t>
      </w:r>
      <w:r>
        <w:rPr>
          <w:b w:val="0"/>
          <w:i w:val="0"/>
          <w:sz w:val="22"/>
        </w:rPr>
        <w:t>), echoing earlier comparisons of Google Scholar, Web of Science, and Scopus that found citation counts diverging by discipline-dependent, sometimes enormous margins (</w:t>
      </w:r>
      <w:r>
        <w:rPr>
          <w:b w:val="0"/>
          <w:i w:val="0"/>
          <w:sz w:val="22"/>
        </w:rPr>
        <w:t>Martín-Martín, Orduna-Malea, &amp; Thelwall, 2018</w:t>
      </w:r>
      <w:r>
        <w:rPr>
          <w:b w:val="0"/>
          <w:i w:val="0"/>
          <w:sz w:val="22"/>
        </w:rPr>
        <w:t>). The gaps are not evenly distributed: journals published outside North America, Europe, and Oceania — sub-Saharan African journals most severely — are indexed at a fraction of the rate of journals from over-represented regions (</w:t>
      </w:r>
      <w:r>
        <w:rPr>
          <w:b w:val="0"/>
          <w:i w:val="0"/>
          <w:sz w:val="22"/>
        </w:rPr>
        <w:t>Asubiaro, Onaolapo, &amp; Mills, 2024</w:t>
      </w:r>
      <w:r>
        <w:rPr>
          <w:b w:val="0"/>
          <w:i w:val="0"/>
          <w:sz w:val="22"/>
        </w:rPr>
        <w:t>), and even OpenAlex, despite its broader nominal coverage, shows measurable reference-linking gaps relative to Web of Science and Scopus (</w:t>
      </w:r>
      <w:r>
        <w:rPr>
          <w:b w:val="0"/>
          <w:i w:val="0"/>
          <w:sz w:val="22"/>
        </w:rPr>
        <w:t>Culbert, Hobert, &amp; Jahn, 2025</w:t>
      </w:r>
      <w:r>
        <w:rPr>
          <w:b w:val="0"/>
          <w:i w:val="0"/>
          <w:sz w:val="22"/>
        </w:rPr>
        <w:t>). A verification pipeline that treats absence from any single database as evidence of non-existence therefore inherits every one of these coverage biases, and — because they are geographically and linguistically patterned — would systematically misclassify legitimate scholarship from already-underrepresented regions as fabricated.</w:t>
      </w:r>
    </w:p>
    <w:p>
      <w:pPr>
        <w:spacing w:after="140"/>
        <w:jc w:val="both"/>
      </w:pPr>
      <w:r>
        <w:rPr>
          <w:b w:val="0"/>
          <w:i w:val="0"/>
          <w:sz w:val="22"/>
        </w:rPr>
        <w:t>This is the specific gap the present study addresses. Existing studies of LLM-generated citation fabrication (</w:t>
      </w:r>
      <w:r>
        <w:rPr>
          <w:b w:val="0"/>
          <w:i w:val="0"/>
          <w:sz w:val="22"/>
        </w:rPr>
        <w:t>Walters &amp; Wilder, 2023</w:t>
      </w:r>
      <w:r>
        <w:rPr>
          <w:b w:val="0"/>
          <w:i w:val="0"/>
          <w:sz w:val="22"/>
        </w:rPr>
        <w:t xml:space="preserve">; </w:t>
      </w:r>
      <w:r>
        <w:rPr>
          <w:b w:val="0"/>
          <w:i w:val="0"/>
          <w:sz w:val="22"/>
        </w:rPr>
        <w:t>Dahl et al., 2024</w:t>
      </w:r>
      <w:r>
        <w:rPr>
          <w:b w:val="0"/>
          <w:i w:val="0"/>
          <w:sz w:val="22"/>
        </w:rPr>
        <w:t>) report prevalence without correcting for database coverage limits, and existing fraud-detection tools (</w:t>
      </w:r>
      <w:r>
        <w:rPr>
          <w:b w:val="0"/>
          <w:i w:val="0"/>
          <w:sz w:val="22"/>
        </w:rPr>
        <w:t>Cabanac &amp; Labbé, 2021</w:t>
      </w:r>
      <w:r>
        <w:rPr>
          <w:b w:val="0"/>
          <w:i w:val="0"/>
          <w:sz w:val="22"/>
        </w:rPr>
        <w:t xml:space="preserve">; </w:t>
      </w:r>
      <w:r>
        <w:rPr>
          <w:b w:val="0"/>
          <w:i w:val="0"/>
          <w:sz w:val="22"/>
        </w:rPr>
        <w:t>Abalkina et al., 2025</w:t>
      </w:r>
      <w:r>
        <w:rPr>
          <w:b w:val="0"/>
          <w:i w:val="0"/>
          <w:sz w:val="22"/>
        </w:rPr>
        <w:t>) detect textual fingerprints of fabricated manuscripts rather than verifying whether individual cited references resolve to real works at all. Meanwhile, the bibliometric-tools literature — exemplified by widely adopted, freely available software such as VOSviewer (</w:t>
      </w:r>
      <w:r>
        <w:rPr>
          <w:b w:val="0"/>
          <w:i w:val="0"/>
          <w:sz w:val="22"/>
        </w:rPr>
        <w:t>van Eck &amp; Waltman, 2010</w:t>
      </w:r>
      <w:r>
        <w:rPr>
          <w:b w:val="0"/>
          <w:i w:val="0"/>
          <w:sz w:val="22"/>
        </w:rPr>
        <w:t>) and bibliometrix (</w:t>
      </w:r>
      <w:r>
        <w:rPr>
          <w:b w:val="0"/>
          <w:i w:val="0"/>
          <w:sz w:val="22"/>
        </w:rPr>
        <w:t>Aria &amp; Cuccurullo, 2017</w:t>
      </w:r>
      <w:r>
        <w:rPr>
          <w:b w:val="0"/>
          <w:i w:val="0"/>
          <w:sz w:val="22"/>
        </w:rPr>
        <w:t>) — demonstrates a clear demand for open, reproducible tooling in this space, but no existing tool combines multi-source reference verification with an explicit taxonomy that separates fabrication from non-indexation and from citation-matching failure. No study, to our knowledge, has estimated the prevalence of fabricated references while explicitly correcting for these two confounders at a multidisciplinary, cross-publisher scale.</w:t>
      </w:r>
    </w:p>
    <w:p>
      <w:pPr>
        <w:spacing w:after="140"/>
        <w:jc w:val="both"/>
      </w:pPr>
      <w:r>
        <w:rPr>
          <w:b w:val="0"/>
          <w:i w:val="0"/>
          <w:sz w:val="22"/>
        </w:rPr>
        <w:t xml:space="preserve">This study makes three contributions. </w:t>
      </w:r>
      <w:r>
        <w:rPr>
          <w:b/>
          <w:i w:val="0"/>
          <w:sz w:val="22"/>
        </w:rPr>
        <w:t>First</w:t>
      </w:r>
      <w:r>
        <w:rPr>
          <w:b w:val="0"/>
          <w:i w:val="0"/>
          <w:sz w:val="22"/>
        </w:rPr>
        <w:t xml:space="preserve">, we provide a reproducible methodology — a four-source verification cascade with explicit matching rules — that converts the weak claim “this reference could not be found” into the defensible classification “this reference is unlikely to exist,” by routing every unmatched candidate through progressively broader databases and a final layer of human verification. </w:t>
      </w:r>
      <w:r>
        <w:rPr>
          <w:b/>
          <w:i w:val="0"/>
          <w:sz w:val="22"/>
        </w:rPr>
        <w:t>Second</w:t>
      </w:r>
      <w:r>
        <w:rPr>
          <w:b w:val="0"/>
          <w:i w:val="0"/>
          <w:sz w:val="22"/>
        </w:rPr>
        <w:t xml:space="preserve">, we report a full accounting of what “unverifiable” references actually are — recoverable, erroneous, non-indexed, and presumably fabricated — alongside infrastructure findings that emerged from the cascade itself, including the failure rate of standard citation matching and a blind spot in retraction flagging caused by duplicate DOI registrations. </w:t>
      </w:r>
      <w:r>
        <w:rPr>
          <w:b/>
          <w:i w:val="0"/>
          <w:sz w:val="22"/>
        </w:rPr>
        <w:t>Third</w:t>
      </w:r>
      <w:r>
        <w:rPr>
          <w:b w:val="0"/>
          <w:i w:val="0"/>
          <w:sz w:val="22"/>
        </w:rPr>
        <w:t>, we release the verification tool as a free web application (reftruth.com), together with the annotated survivor set and all code and data, so that authors, editors, and reviewers can screen bibliographies before publication.</w:t>
      </w:r>
    </w:p>
    <w:p>
      <w:pPr>
        <w:spacing w:after="140"/>
        <w:jc w:val="both"/>
      </w:pPr>
      <w:r>
        <w:rPr>
          <w:b w:val="0"/>
          <w:i w:val="0"/>
          <w:sz w:val="22"/>
        </w:rPr>
        <w:t>The remainder of the paper is organized as follows. Section 2 describes the data and the verification cascade; Section 3 presents the results; Section 4 discusses implications for editorial screening and scholarly data infrastructure; Section 5 concludes.</w:t>
      </w:r>
    </w:p>
    <w:p>
      <w:pPr>
        <w:pStyle w:val="Heading1"/>
      </w:pPr>
      <w:r>
        <w:t>2. Data and Methods</w:t>
      </w:r>
    </w:p>
    <w:p>
      <w:pPr>
        <w:pStyle w:val="Heading2"/>
      </w:pPr>
      <w:r>
        <w:t>2.1 Sampling frame</w:t>
      </w:r>
    </w:p>
    <w:p>
      <w:pPr>
        <w:spacing w:after="140"/>
        <w:jc w:val="both"/>
      </w:pPr>
      <w:r>
        <w:rPr>
          <w:b w:val="0"/>
          <w:i w:val="0"/>
          <w:sz w:val="22"/>
        </w:rPr>
        <w:t>Our unit of analysis is the individual reference string. We drew a random sample of 2024 journal articles from Crossref, restricted to those with open (deposited) reference lists. As of sampling, Crossref held 6,092,408 journal articles with a 2024 publication date, of which 57.2% carried a deposited reference list. Within those lists, approximately 31% of references are “unresolved” — deposited as raw text without a linked DOI. These unresolved strings are the population of interest, because a fabricated reference, having no real referent, cannot carry a resolved DOI and will necessarily appear here.</w:t>
      </w:r>
    </w:p>
    <w:p>
      <w:pPr>
        <w:spacing w:after="140"/>
        <w:jc w:val="both"/>
      </w:pPr>
      <w:r>
        <w:rPr>
          <w:b w:val="0"/>
          <w:i w:val="0"/>
          <w:sz w:val="22"/>
        </w:rPr>
        <w:t>From roughly 1,200 randomly sampled articles we extracted 5,000 unresolved reference strings, retaining for each the DOI of the citing article as provenance. We note a deliberate selection bias: journals that deposit open references are, on average, the more procedurally rigorous ones, so our prevalence figures should be read as a lower bound on the wider literature.</w:t>
      </w:r>
    </w:p>
    <w:p>
      <w:pPr>
        <w:pStyle w:val="Heading2"/>
      </w:pPr>
      <w:r>
        <w:t>2.2 The verification cascade</w:t>
      </w:r>
    </w:p>
    <w:p>
      <w:pPr>
        <w:spacing w:after="140"/>
        <w:jc w:val="both"/>
      </w:pPr>
      <w:r>
        <w:rPr>
          <w:b w:val="0"/>
          <w:i w:val="0"/>
          <w:sz w:val="22"/>
        </w:rPr>
        <w:t>Each reference passes through the cascade until it is resolved or exhausts all sources:</w:t>
      </w:r>
    </w:p>
    <w:p>
      <w:pPr>
        <w:pStyle w:val="ListBullet"/>
        <w:spacing w:after="80"/>
      </w:pPr>
      <w:r>
        <w:rPr>
          <w:sz w:val="22"/>
        </w:rPr>
        <w:t>Stage 1 — Crossref. If the string contains a DOI, we resolve it directly; otherwise we run a bibliographic query and accept the best title match.</w:t>
      </w:r>
    </w:p>
    <w:p>
      <w:pPr>
        <w:pStyle w:val="ListBullet"/>
        <w:spacing w:after="80"/>
      </w:pPr>
      <w:r>
        <w:rPr>
          <w:sz w:val="22"/>
        </w:rPr>
        <w:t>Stage 2 — OpenAlex. Strings unresolved by Crossref are queried against OpenAlex (~250M works), which aggregates Crossref, PubMed, DataCite, and repository records.</w:t>
      </w:r>
    </w:p>
    <w:p>
      <w:pPr>
        <w:pStyle w:val="ListBullet"/>
        <w:spacing w:after="80"/>
      </w:pPr>
      <w:r>
        <w:rPr>
          <w:sz w:val="22"/>
        </w:rPr>
        <w:t>Stage 3 — Semantic Scholar. Article-shaped strings still unresolved are queried against Semantic Scholar (~220M works), which indexes much non-Crossref content, including delisted and regional journals. We query the title-match endpoint on the extracted title segment, as full-citation queries return no results.</w:t>
      </w:r>
    </w:p>
    <w:p>
      <w:pPr>
        <w:pStyle w:val="ListBullet"/>
        <w:spacing w:after="80"/>
      </w:pPr>
      <w:r>
        <w:rPr>
          <w:sz w:val="22"/>
        </w:rPr>
        <w:t>Stage 4 — Human review. Strings surviving all three databases are verified manually via web search and classified as existing, unverifiable-by-design, ambiguous, or fabricated.</w:t>
      </w:r>
    </w:p>
    <w:p>
      <w:pPr>
        <w:pStyle w:val="Heading2"/>
      </w:pPr>
      <w:r>
        <w:t>2.3 Matching rules</w:t>
      </w:r>
    </w:p>
    <w:p>
      <w:pPr>
        <w:spacing w:after="140"/>
        <w:jc w:val="both"/>
      </w:pPr>
      <w:r>
        <w:rPr>
          <w:b w:val="0"/>
          <w:i w:val="0"/>
          <w:sz w:val="22"/>
        </w:rPr>
        <w:t>Automated matching accepts a candidate when a sufficient fraction of the significant title tokens (length &gt; 3) appears in the reference string, subject to three guards calibrated on a synthetic test set: titles with fewer than three significant tokens are accepted only on a near-perfect match plus first-author surname presence; when the registered first-author surname is absent from the string, a near-perfect title match is required; and cited years are tolerated within ±2 of the registered year to absorb online-first/print offsets.</w:t>
      </w:r>
    </w:p>
    <w:p>
      <w:pPr>
        <w:pStyle w:val="Heading2"/>
      </w:pPr>
      <w:r>
        <w:t>2.4 Retraction checking and a duplicate-DOI blind spot</w:t>
      </w:r>
    </w:p>
    <w:p>
      <w:pPr>
        <w:spacing w:after="140"/>
        <w:jc w:val="both"/>
      </w:pPr>
      <w:r>
        <w:rPr>
          <w:b w:val="0"/>
          <w:i w:val="0"/>
          <w:sz w:val="22"/>
        </w:rPr>
        <w:t xml:space="preserve">Retraction status is checked in OpenAlex both by DOI and by title. The title-based second check is necessary because publishers sometimes register </w:t>
      </w:r>
      <w:r>
        <w:rPr>
          <w:b/>
          <w:i w:val="0"/>
          <w:sz w:val="22"/>
        </w:rPr>
        <w:t>duplicate DOIs</w:t>
      </w:r>
      <w:r>
        <w:rPr>
          <w:b w:val="0"/>
          <w:i w:val="0"/>
          <w:sz w:val="22"/>
        </w:rPr>
        <w:t xml:space="preserve"> for the same work, and the retraction flag may attach to only one of them. In our synthetic test set, the retracted Wakefield et al. (1998) paper resolved to a DOI variant flagged as </w:t>
      </w:r>
      <w:r>
        <w:rPr>
          <w:b w:val="0"/>
          <w:i/>
          <w:sz w:val="22"/>
        </w:rPr>
        <w:t>not</w:t>
      </w:r>
      <w:r>
        <w:rPr>
          <w:b w:val="0"/>
          <w:i w:val="0"/>
          <w:sz w:val="22"/>
        </w:rPr>
        <w:t xml:space="preserve"> retracted, while its canonical DOI carried the flag; a DOI-only check therefore misses it. This is a general vulnerability of retraction-aware screening tools and is reported here as a secondary finding.</w:t>
      </w:r>
    </w:p>
    <w:p>
      <w:pPr>
        <w:pStyle w:val="Heading2"/>
      </w:pPr>
      <w:r>
        <w:t>2.5 Human validation and taxonomy</w:t>
      </w:r>
    </w:p>
    <w:p>
      <w:pPr>
        <w:spacing w:after="140"/>
        <w:jc w:val="both"/>
      </w:pPr>
      <w:r>
        <w:rPr>
          <w:b w:val="0"/>
          <w:i w:val="0"/>
          <w:sz w:val="22"/>
        </w:rPr>
        <w:t>For the survivor set we performed exhaustive manual verification of every post-2020 reference — the subset in which LLM-era fabrication, if present, would concentrate. Each was searched on the open web and assigned to one of four classes: confirmed to exist (with venue), author-only/untitled (no title to match, unverifiable by design), ambiguous (real journal not traceable via web search), or confirmed fabricated.</w:t>
      </w:r>
    </w:p>
    <w:p>
      <w:pPr>
        <w:spacing w:after="140"/>
        <w:ind w:left="216"/>
        <w:shd w:val="clear" w:fill="FFF3CD"/>
        <w:pBdr>
          <w:left w:val="single" w:sz="18" w:space="6" w:color="E0A800"/>
        </w:pBdr>
      </w:pPr>
      <w:r>
        <w:rPr>
          <w:b/>
          <w:color w:val="8A6D00"/>
          <w:sz w:val="18"/>
        </w:rPr>
        <w:t xml:space="preserve">DRAFTING NOTE  </w:t>
      </w:r>
      <w:r>
        <w:rPr>
          <w:i/>
          <w:color w:val="6B5900"/>
          <w:sz w:val="18"/>
        </w:rPr>
        <w:t>For a Q1 submission, upgrade 2.5 to a full inter-annotator protocol: a second independent annotator on the survivor set plus random samples of each automated verdict, reported with Cohen's κ. From that, derive the cascade's sensitivity/specificity and use them to correct the raw counts in 3.5. This is the section reviewers will scrutinize most.</w:t>
      </w:r>
    </w:p>
    <w:p>
      <w:pPr>
        <w:pStyle w:val="Heading2"/>
      </w:pPr>
      <w:r>
        <w:t>2.6 Reproducibility</w:t>
      </w:r>
    </w:p>
    <w:p>
      <w:pPr>
        <w:spacing w:after="140"/>
        <w:jc w:val="both"/>
      </w:pPr>
      <w:r>
        <w:rPr>
          <w:b w:val="0"/>
          <w:i w:val="0"/>
          <w:sz w:val="22"/>
        </w:rPr>
        <w:t>All three databases are queried through free public APIs; no proprietary index is used. The verification code, the sampled references with provenance, and the annotated survivor set are openly available at the repository listed above.</w:t>
      </w:r>
    </w:p>
    <w:p>
      <w:pPr>
        <w:pStyle w:val="Heading2"/>
      </w:pPr>
      <w:r>
        <w:t>2.7 A public screening tool</w:t>
      </w:r>
    </w:p>
    <w:p>
      <w:pPr>
        <w:spacing w:after="140"/>
        <w:jc w:val="both"/>
      </w:pPr>
      <w:r>
        <w:rPr>
          <w:b w:val="0"/>
          <w:i w:val="0"/>
          <w:sz w:val="22"/>
        </w:rPr>
        <w:t xml:space="preserve">Stages 1–2 of the cascade (Crossref and OpenAlex) require no proprietary access and both APIs permit cross-origin requests, so we implemented them as a client-side web application that runs entirely in the user's browser: no reference text is transmitted to any server other than the two source databases themselves, and no installation, account, or payment is required. The tool is freely available at </w:t>
      </w:r>
      <w:r>
        <w:rPr>
          <w:b/>
          <w:i w:val="0"/>
          <w:sz w:val="22"/>
        </w:rPr>
        <w:t>reftruth.com</w:t>
      </w:r>
      <w:r>
        <w:rPr>
          <w:b w:val="0"/>
          <w:i w:val="0"/>
          <w:sz w:val="22"/>
        </w:rPr>
        <w:t xml:space="preserve"> and lets an author, editor, or reviewer paste a bibliography and receive a per-reference verdict in seconds, with a CSV export for manuscript records. Table 1 maps the tool's four verdict states to the taxonomy of Section 2.5. The full four-source cascade with Semantic Scholar and exhaustive human review, as used for the results reported below, remains available as the open-source command-line pipeline in the same repository, since the Semantic Scholar layer requires an API key that cannot be safely embedded in client-side code.</w:t>
      </w:r>
    </w:p>
    <w:p>
      <w:pPr>
        <w:spacing w:before="120"/>
        <w:jc w:val="center"/>
      </w:pPr>
      <w:r>
        <w:drawing>
          <wp:inline xmlns:a="http://schemas.openxmlformats.org/drawingml/2006/main" xmlns:pic="http://schemas.openxmlformats.org/drawingml/2006/picture">
            <wp:extent cx="5120640" cy="2959106"/>
            <wp:docPr id="1" name="Picture 1"/>
            <wp:cNvGraphicFramePr>
              <a:graphicFrameLocks noChangeAspect="1"/>
            </wp:cNvGraphicFramePr>
            <a:graphic>
              <a:graphicData uri="http://schemas.openxmlformats.org/drawingml/2006/picture">
                <pic:pic>
                  <pic:nvPicPr>
                    <pic:cNvPr id="0" name="captura_app_2.png"/>
                    <pic:cNvPicPr/>
                  </pic:nvPicPr>
                  <pic:blipFill>
                    <a:blip r:embed="rId9"/>
                    <a:stretch>
                      <a:fillRect/>
                    </a:stretch>
                  </pic:blipFill>
                  <pic:spPr>
                    <a:xfrm>
                      <a:off x="0" y="0"/>
                      <a:ext cx="5120640" cy="2959106"/>
                    </a:xfrm>
                    <a:prstGeom prst="rect"/>
                  </pic:spPr>
                </pic:pic>
              </a:graphicData>
            </a:graphic>
          </wp:inline>
        </w:drawing>
      </w:r>
    </w:p>
    <w:p>
      <w:pPr>
        <w:spacing w:after="200"/>
        <w:jc w:val="center"/>
      </w:pPr>
      <w:r>
        <w:rPr>
          <w:i/>
          <w:color w:val="595959"/>
          <w:sz w:val="19"/>
        </w:rPr>
        <w:t>Figure 1. The public web tool (reftruth.com). References are pasted one per line; verification runs entirely client-side against Crossref and OpenAlex.</w:t>
      </w:r>
    </w:p>
    <w:p>
      <w:pPr>
        <w:spacing w:after="80"/>
        <w:jc w:val="both"/>
      </w:pPr>
      <w:r>
        <w:rPr>
          <w:b w:val="0"/>
          <w:i/>
          <w:sz w:val="19"/>
        </w:rPr>
        <w:t>Table 1. Verdict states exposed by the public web tool.</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80"/>
        <w:gridCol w:w="2880"/>
        <w:gridCol w:w="2880"/>
      </w:tblGrid>
      <w:tr>
        <w:tc>
          <w:tcPr>
            <w:tcW w:type="dxa" w:w="2160"/>
            <w:shd w:val="clear" w:fill="1F4E79"/>
          </w:tcPr>
          <w:p>
            <w:pPr>
              <w:spacing w:after="0"/>
            </w:pPr>
            <w:r/>
            <w:r>
              <w:rPr>
                <w:b/>
                <w:color w:val="FFFFFF"/>
                <w:sz w:val="19"/>
              </w:rPr>
              <w:t>Tool badge</w:t>
            </w:r>
          </w:p>
        </w:tc>
        <w:tc>
          <w:tcPr>
            <w:tcW w:type="dxa" w:w="3312"/>
            <w:shd w:val="clear" w:fill="1F4E79"/>
          </w:tcPr>
          <w:p>
            <w:pPr>
              <w:spacing w:after="0"/>
            </w:pPr>
            <w:r/>
            <w:r>
              <w:rPr>
                <w:b/>
                <w:color w:val="FFFFFF"/>
                <w:sz w:val="19"/>
              </w:rPr>
              <w:t>Taxonomy class (§2.5)</w:t>
            </w:r>
          </w:p>
        </w:tc>
        <w:tc>
          <w:tcPr>
            <w:tcW w:type="dxa" w:w="4464"/>
            <w:shd w:val="clear" w:fill="1F4E79"/>
          </w:tcPr>
          <w:p>
            <w:pPr>
              <w:spacing w:after="0"/>
            </w:pPr>
            <w:r/>
            <w:r>
              <w:rPr>
                <w:b/>
                <w:color w:val="FFFFFF"/>
                <w:sz w:val="19"/>
              </w:rPr>
              <w:t>Meaning</w:t>
            </w:r>
          </w:p>
        </w:tc>
      </w:tr>
      <w:tr>
        <w:tc>
          <w:tcPr>
            <w:tcW w:type="dxa" w:w="2160"/>
          </w:tcPr>
          <w:p>
            <w:pPr>
              <w:spacing w:after="0"/>
            </w:pPr>
            <w:r/>
            <w:r>
              <w:rPr>
                <w:b w:val="0"/>
                <w:sz w:val="19"/>
              </w:rPr>
              <w:t>Verified</w:t>
            </w:r>
          </w:p>
        </w:tc>
        <w:tc>
          <w:tcPr>
            <w:tcW w:type="dxa" w:w="3312"/>
          </w:tcPr>
          <w:p>
            <w:pPr>
              <w:spacing w:after="0"/>
            </w:pPr>
            <w:r/>
            <w:r>
              <w:rPr>
                <w:b w:val="0"/>
                <w:sz w:val="19"/>
              </w:rPr>
              <w:t>Recoverable / confirmed existing</w:t>
            </w:r>
          </w:p>
        </w:tc>
        <w:tc>
          <w:tcPr>
            <w:tcW w:type="dxa" w:w="4464"/>
          </w:tcPr>
          <w:p>
            <w:pPr>
              <w:spacing w:after="0"/>
            </w:pPr>
            <w:r/>
            <w:r>
              <w:rPr>
                <w:b w:val="0"/>
                <w:sz w:val="19"/>
              </w:rPr>
              <w:t>Found in Crossref or OpenAlex with matching metadata; DOI link provided</w:t>
            </w:r>
          </w:p>
        </w:tc>
      </w:tr>
      <w:tr>
        <w:tc>
          <w:tcPr>
            <w:tcW w:type="dxa" w:w="2160"/>
          </w:tcPr>
          <w:p>
            <w:pPr>
              <w:spacing w:after="0"/>
            </w:pPr>
            <w:r/>
            <w:r>
              <w:rPr>
                <w:b w:val="0"/>
                <w:sz w:val="19"/>
              </w:rPr>
              <w:t>Metadata issue</w:t>
            </w:r>
          </w:p>
        </w:tc>
        <w:tc>
          <w:tcPr>
            <w:tcW w:type="dxa" w:w="3312"/>
          </w:tcPr>
          <w:p>
            <w:pPr>
              <w:spacing w:after="0"/>
            </w:pPr>
            <w:r/>
            <w:r>
              <w:rPr>
                <w:b w:val="0"/>
                <w:sz w:val="19"/>
              </w:rPr>
              <w:t>Erroneous</w:t>
            </w:r>
          </w:p>
        </w:tc>
        <w:tc>
          <w:tcPr>
            <w:tcW w:type="dxa" w:w="4464"/>
          </w:tcPr>
          <w:p>
            <w:pPr>
              <w:spacing w:after="0"/>
            </w:pPr>
            <w:r/>
            <w:r>
              <w:rPr>
                <w:b w:val="0"/>
                <w:sz w:val="19"/>
              </w:rPr>
              <w:t>Found, but the cited year differs from the registered year by more than two</w:t>
            </w:r>
          </w:p>
        </w:tc>
      </w:tr>
      <w:tr>
        <w:tc>
          <w:tcPr>
            <w:tcW w:type="dxa" w:w="2160"/>
          </w:tcPr>
          <w:p>
            <w:pPr>
              <w:spacing w:after="0"/>
            </w:pPr>
            <w:r/>
            <w:r>
              <w:rPr>
                <w:b w:val="0"/>
                <w:sz w:val="19"/>
              </w:rPr>
              <w:t>Retracted</w:t>
            </w:r>
          </w:p>
        </w:tc>
        <w:tc>
          <w:tcPr>
            <w:tcW w:type="dxa" w:w="3312"/>
          </w:tcPr>
          <w:p>
            <w:pPr>
              <w:spacing w:after="0"/>
            </w:pPr>
            <w:r/>
            <w:r>
              <w:rPr>
                <w:b w:val="0"/>
                <w:sz w:val="19"/>
              </w:rPr>
              <w:t>Retracted</w:t>
            </w:r>
          </w:p>
        </w:tc>
        <w:tc>
          <w:tcPr>
            <w:tcW w:type="dxa" w:w="4464"/>
          </w:tcPr>
          <w:p>
            <w:pPr>
              <w:spacing w:after="0"/>
            </w:pPr>
            <w:r/>
            <w:r>
              <w:rPr>
                <w:b w:val="0"/>
                <w:sz w:val="19"/>
              </w:rPr>
              <w:t>OpenAlex marks the work as retracted (checked by DOI and by title)</w:t>
            </w:r>
          </w:p>
        </w:tc>
      </w:tr>
      <w:tr>
        <w:tc>
          <w:tcPr>
            <w:tcW w:type="dxa" w:w="2160"/>
          </w:tcPr>
          <w:p>
            <w:pPr>
              <w:spacing w:after="0"/>
            </w:pPr>
            <w:r/>
            <w:r>
              <w:rPr>
                <w:b w:val="0"/>
                <w:sz w:val="19"/>
              </w:rPr>
              <w:t>Not verifiable</w:t>
            </w:r>
          </w:p>
        </w:tc>
        <w:tc>
          <w:tcPr>
            <w:tcW w:type="dxa" w:w="3312"/>
          </w:tcPr>
          <w:p>
            <w:pPr>
              <w:spacing w:after="0"/>
            </w:pPr>
            <w:r/>
            <w:r>
              <w:rPr>
                <w:b w:val="0"/>
                <w:sz w:val="19"/>
              </w:rPr>
              <w:t>Non-indexed / candidate fabrication</w:t>
            </w:r>
          </w:p>
        </w:tc>
        <w:tc>
          <w:tcPr>
            <w:tcW w:type="dxa" w:w="4464"/>
          </w:tcPr>
          <w:p>
            <w:pPr>
              <w:spacing w:after="0"/>
            </w:pPr>
            <w:r/>
            <w:r>
              <w:rPr>
                <w:b w:val="0"/>
                <w:sz w:val="19"/>
              </w:rPr>
              <w:t>Absent from both databases — a prompt for manual review, not a verdict</w:t>
            </w:r>
          </w:p>
        </w:tc>
      </w:tr>
    </w:tbl>
    <w:p>
      <w:pPr>
        <w:spacing w:after="80"/>
        <w:jc w:val="both"/>
      </w:pPr>
      <w:r>
        <w:rPr>
          <w:b w:val="0"/>
          <w:i w:val="0"/>
          <w:sz w:val="22"/>
        </w:rPr>
      </w:r>
    </w:p>
    <w:p>
      <w:pPr>
        <w:pStyle w:val="Heading1"/>
      </w:pPr>
      <w:r>
        <w:t>3. Results</w:t>
      </w:r>
    </w:p>
    <w:p>
      <w:pPr>
        <w:pStyle w:val="Heading2"/>
      </w:pPr>
      <w:r>
        <w:t>3.1 The verification funnel</w:t>
      </w:r>
    </w:p>
    <w:p>
      <w:pPr>
        <w:spacing w:after="140"/>
        <w:jc w:val="both"/>
      </w:pPr>
      <w:r>
        <w:rPr>
          <w:b w:val="0"/>
          <w:i w:val="0"/>
          <w:sz w:val="22"/>
        </w:rPr>
        <w:t>Table 2 reports the full cascade applied to the 5,000-reference pilot. One quarter of the ostensibly “unresolved” references are in fact real works that the standard matcher failed to link; a further eighth carry an implausible cited year; and just under two thirds are absent from the two largest databases. Of the latter, 517 (10.3% of the sample) have the form of a journal article and are carried forward; the remaining unverifiable strings are gray literature (books, standards, patents, reports, theses, web pages).</w:t>
      </w:r>
    </w:p>
    <w:p>
      <w:pPr>
        <w:spacing w:after="80"/>
        <w:jc w:val="both"/>
      </w:pPr>
      <w:r>
        <w:rPr>
          <w:b w:val="0"/>
          <w:i/>
          <w:sz w:val="19"/>
        </w:rPr>
        <w:t>Table 2. The four-source verification cascade applied to 5,000 unresolved references (2024).</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3600"/>
            <w:shd w:val="clear" w:fill="1F4E79"/>
          </w:tcPr>
          <w:p>
            <w:pPr>
              <w:spacing w:after="0"/>
            </w:pPr>
            <w:r/>
            <w:r>
              <w:rPr>
                <w:b/>
                <w:color w:val="FFFFFF"/>
                <w:sz w:val="19"/>
              </w:rPr>
              <w:t>Stage</w:t>
            </w:r>
          </w:p>
        </w:tc>
        <w:tc>
          <w:tcPr>
            <w:tcW w:type="dxa" w:w="1224"/>
            <w:shd w:val="clear" w:fill="1F4E79"/>
          </w:tcPr>
          <w:p>
            <w:pPr>
              <w:spacing w:after="0"/>
            </w:pPr>
            <w:r/>
            <w:r>
              <w:rPr>
                <w:b/>
                <w:color w:val="FFFFFF"/>
                <w:sz w:val="19"/>
              </w:rPr>
              <w:t>n</w:t>
            </w:r>
          </w:p>
        </w:tc>
        <w:tc>
          <w:tcPr>
            <w:tcW w:type="dxa" w:w="1368"/>
            <w:shd w:val="clear" w:fill="1F4E79"/>
          </w:tcPr>
          <w:p>
            <w:pPr>
              <w:spacing w:after="0"/>
            </w:pPr>
            <w:r/>
            <w:r>
              <w:rPr>
                <w:b/>
                <w:color w:val="FFFFFF"/>
                <w:sz w:val="19"/>
              </w:rPr>
              <w:t>% of 5,000</w:t>
            </w:r>
          </w:p>
        </w:tc>
        <w:tc>
          <w:tcPr>
            <w:tcW w:type="dxa" w:w="3024"/>
            <w:shd w:val="clear" w:fill="1F4E79"/>
          </w:tcPr>
          <w:p>
            <w:pPr>
              <w:spacing w:after="0"/>
            </w:pPr>
            <w:r/>
            <w:r>
              <w:rPr>
                <w:b/>
                <w:color w:val="FFFFFF"/>
                <w:sz w:val="19"/>
              </w:rPr>
              <w:t>Interpretation</w:t>
            </w:r>
          </w:p>
        </w:tc>
      </w:tr>
      <w:tr>
        <w:tc>
          <w:tcPr>
            <w:tcW w:type="dxa" w:w="3600"/>
          </w:tcPr>
          <w:p>
            <w:pPr>
              <w:spacing w:after="0"/>
            </w:pPr>
            <w:r/>
            <w:r>
              <w:rPr>
                <w:b w:val="0"/>
                <w:sz w:val="19"/>
              </w:rPr>
              <w:t>Unresolved reference strings sampled</w:t>
            </w:r>
          </w:p>
        </w:tc>
        <w:tc>
          <w:tcPr>
            <w:tcW w:type="dxa" w:w="1224"/>
          </w:tcPr>
          <w:p>
            <w:pPr>
              <w:spacing w:after="0"/>
            </w:pPr>
            <w:r/>
            <w:r>
              <w:rPr>
                <w:b w:val="0"/>
                <w:sz w:val="19"/>
              </w:rPr>
              <w:t>5,000</w:t>
            </w:r>
          </w:p>
        </w:tc>
        <w:tc>
          <w:tcPr>
            <w:tcW w:type="dxa" w:w="1368"/>
          </w:tcPr>
          <w:p>
            <w:pPr>
              <w:spacing w:after="0"/>
            </w:pPr>
            <w:r/>
            <w:r>
              <w:rPr>
                <w:b w:val="0"/>
                <w:sz w:val="19"/>
              </w:rPr>
              <w:t>100%</w:t>
            </w:r>
          </w:p>
        </w:tc>
        <w:tc>
          <w:tcPr>
            <w:tcW w:type="dxa" w:w="3024"/>
          </w:tcPr>
          <w:p>
            <w:pPr>
              <w:spacing w:after="0"/>
            </w:pPr>
            <w:r/>
            <w:r>
              <w:rPr>
                <w:b w:val="0"/>
                <w:sz w:val="19"/>
              </w:rPr>
              <w:t>Raw citation text Crossref could not link to a DOI</w:t>
            </w:r>
          </w:p>
        </w:tc>
      </w:tr>
      <w:tr>
        <w:tc>
          <w:tcPr>
            <w:tcW w:type="dxa" w:w="3600"/>
          </w:tcPr>
          <w:p>
            <w:pPr>
              <w:spacing w:after="0"/>
            </w:pPr>
            <w:r/>
            <w:r>
              <w:rPr>
                <w:b w:val="0"/>
                <w:sz w:val="19"/>
              </w:rPr>
              <w:t>→ Verified (rescued by the cascade)</w:t>
            </w:r>
          </w:p>
        </w:tc>
        <w:tc>
          <w:tcPr>
            <w:tcW w:type="dxa" w:w="1224"/>
          </w:tcPr>
          <w:p>
            <w:pPr>
              <w:spacing w:after="0"/>
            </w:pPr>
            <w:r/>
            <w:r>
              <w:rPr>
                <w:b w:val="0"/>
                <w:sz w:val="19"/>
              </w:rPr>
              <w:t>1,262</w:t>
            </w:r>
          </w:p>
        </w:tc>
        <w:tc>
          <w:tcPr>
            <w:tcW w:type="dxa" w:w="1368"/>
          </w:tcPr>
          <w:p>
            <w:pPr>
              <w:spacing w:after="0"/>
            </w:pPr>
            <w:r/>
            <w:r>
              <w:rPr>
                <w:b w:val="0"/>
                <w:sz w:val="19"/>
              </w:rPr>
              <w:t>25.2%</w:t>
            </w:r>
          </w:p>
        </w:tc>
        <w:tc>
          <w:tcPr>
            <w:tcW w:type="dxa" w:w="3024"/>
          </w:tcPr>
          <w:p>
            <w:pPr>
              <w:spacing w:after="0"/>
            </w:pPr>
            <w:r/>
            <w:r>
              <w:rPr>
                <w:b w:val="0"/>
                <w:sz w:val="19"/>
              </w:rPr>
              <w:t>Real works the standard matcher missed</w:t>
            </w:r>
          </w:p>
        </w:tc>
      </w:tr>
      <w:tr>
        <w:tc>
          <w:tcPr>
            <w:tcW w:type="dxa" w:w="3600"/>
          </w:tcPr>
          <w:p>
            <w:pPr>
              <w:spacing w:after="0"/>
            </w:pPr>
            <w:r/>
            <w:r>
              <w:rPr>
                <w:b w:val="0"/>
                <w:sz w:val="19"/>
              </w:rPr>
              <w:t>→ Metadata mismatch (implausible year)</w:t>
            </w:r>
          </w:p>
        </w:tc>
        <w:tc>
          <w:tcPr>
            <w:tcW w:type="dxa" w:w="1224"/>
          </w:tcPr>
          <w:p>
            <w:pPr>
              <w:spacing w:after="0"/>
            </w:pPr>
            <w:r/>
            <w:r>
              <w:rPr>
                <w:b w:val="0"/>
                <w:sz w:val="19"/>
              </w:rPr>
              <w:t>614</w:t>
            </w:r>
          </w:p>
        </w:tc>
        <w:tc>
          <w:tcPr>
            <w:tcW w:type="dxa" w:w="1368"/>
          </w:tcPr>
          <w:p>
            <w:pPr>
              <w:spacing w:after="0"/>
            </w:pPr>
            <w:r/>
            <w:r>
              <w:rPr>
                <w:b w:val="0"/>
                <w:sz w:val="19"/>
              </w:rPr>
              <w:t>12.3%</w:t>
            </w:r>
          </w:p>
        </w:tc>
        <w:tc>
          <w:tcPr>
            <w:tcW w:type="dxa" w:w="3024"/>
          </w:tcPr>
          <w:p>
            <w:pPr>
              <w:spacing w:after="0"/>
            </w:pPr>
            <w:r/>
            <w:r>
              <w:rPr>
                <w:b w:val="0"/>
                <w:sz w:val="19"/>
              </w:rPr>
              <w:t>Real works cited with an erroneous year</w:t>
            </w:r>
          </w:p>
        </w:tc>
      </w:tr>
      <w:tr>
        <w:tc>
          <w:tcPr>
            <w:tcW w:type="dxa" w:w="3600"/>
          </w:tcPr>
          <w:p>
            <w:pPr>
              <w:spacing w:after="0"/>
            </w:pPr>
            <w:r/>
            <w:r>
              <w:rPr>
                <w:b w:val="0"/>
                <w:sz w:val="19"/>
              </w:rPr>
              <w:t>→ Not verifiable</w:t>
            </w:r>
          </w:p>
        </w:tc>
        <w:tc>
          <w:tcPr>
            <w:tcW w:type="dxa" w:w="1224"/>
          </w:tcPr>
          <w:p>
            <w:pPr>
              <w:spacing w:after="0"/>
            </w:pPr>
            <w:r/>
            <w:r>
              <w:rPr>
                <w:b w:val="0"/>
                <w:sz w:val="19"/>
              </w:rPr>
              <w:t>3,124</w:t>
            </w:r>
          </w:p>
        </w:tc>
        <w:tc>
          <w:tcPr>
            <w:tcW w:type="dxa" w:w="1368"/>
          </w:tcPr>
          <w:p>
            <w:pPr>
              <w:spacing w:after="0"/>
            </w:pPr>
            <w:r/>
            <w:r>
              <w:rPr>
                <w:b w:val="0"/>
                <w:sz w:val="19"/>
              </w:rPr>
              <w:t>62.5%</w:t>
            </w:r>
          </w:p>
        </w:tc>
        <w:tc>
          <w:tcPr>
            <w:tcW w:type="dxa" w:w="3024"/>
          </w:tcPr>
          <w:p>
            <w:pPr>
              <w:spacing w:after="0"/>
            </w:pPr>
            <w:r/>
            <w:r>
              <w:rPr>
                <w:b w:val="0"/>
                <w:sz w:val="19"/>
              </w:rPr>
              <w:t>Absent from Crossref and OpenAlex</w:t>
            </w:r>
          </w:p>
        </w:tc>
      </w:tr>
      <w:tr>
        <w:tc>
          <w:tcPr>
            <w:tcW w:type="dxa" w:w="3600"/>
            <w:shd w:val="clear" w:fill="EAF1FA"/>
          </w:tcPr>
          <w:p>
            <w:pPr>
              <w:spacing w:after="0"/>
            </w:pPr>
            <w:r/>
            <w:r>
              <w:rPr>
                <w:b/>
                <w:sz w:val="19"/>
              </w:rPr>
              <w:t xml:space="preserve">    of which article-shaped candidates</w:t>
            </w:r>
          </w:p>
        </w:tc>
        <w:tc>
          <w:tcPr>
            <w:tcW w:type="dxa" w:w="1224"/>
            <w:shd w:val="clear" w:fill="EAF1FA"/>
          </w:tcPr>
          <w:p>
            <w:pPr>
              <w:spacing w:after="0"/>
            </w:pPr>
            <w:r/>
            <w:r>
              <w:rPr>
                <w:b w:val="0"/>
                <w:sz w:val="19"/>
              </w:rPr>
              <w:t>517</w:t>
            </w:r>
          </w:p>
        </w:tc>
        <w:tc>
          <w:tcPr>
            <w:tcW w:type="dxa" w:w="1368"/>
            <w:shd w:val="clear" w:fill="EAF1FA"/>
          </w:tcPr>
          <w:p>
            <w:pPr>
              <w:spacing w:after="0"/>
            </w:pPr>
            <w:r/>
            <w:r>
              <w:rPr>
                <w:b w:val="0"/>
                <w:sz w:val="19"/>
              </w:rPr>
              <w:t>10.3%</w:t>
            </w:r>
          </w:p>
        </w:tc>
        <w:tc>
          <w:tcPr>
            <w:tcW w:type="dxa" w:w="3024"/>
            <w:shd w:val="clear" w:fill="EAF1FA"/>
          </w:tcPr>
          <w:p>
            <w:pPr>
              <w:spacing w:after="0"/>
            </w:pPr>
            <w:r/>
            <w:r>
              <w:rPr>
                <w:b w:val="0"/>
                <w:sz w:val="19"/>
              </w:rPr>
              <w:t>Journal-article form; carried to Stage 3–4</w:t>
            </w:r>
          </w:p>
        </w:tc>
      </w:tr>
      <w:tr>
        <w:tc>
          <w:tcPr>
            <w:tcW w:type="dxa" w:w="3600"/>
          </w:tcPr>
          <w:p>
            <w:pPr>
              <w:spacing w:after="0"/>
            </w:pPr>
            <w:r/>
            <w:r>
              <w:rPr>
                <w:b w:val="0"/>
                <w:sz w:val="19"/>
              </w:rPr>
              <w:t>→ Found in Semantic Scholar (non-indexed)</w:t>
            </w:r>
          </w:p>
        </w:tc>
        <w:tc>
          <w:tcPr>
            <w:tcW w:type="dxa" w:w="1224"/>
          </w:tcPr>
          <w:p>
            <w:pPr>
              <w:spacing w:after="0"/>
            </w:pPr>
            <w:r/>
            <w:r>
              <w:rPr>
                <w:b w:val="0"/>
                <w:sz w:val="19"/>
              </w:rPr>
              <w:t>96</w:t>
            </w:r>
          </w:p>
        </w:tc>
        <w:tc>
          <w:tcPr>
            <w:tcW w:type="dxa" w:w="1368"/>
          </w:tcPr>
          <w:p>
            <w:pPr>
              <w:spacing w:after="0"/>
            </w:pPr>
            <w:r/>
            <w:r>
              <w:rPr>
                <w:b w:val="0"/>
                <w:sz w:val="19"/>
              </w:rPr>
              <w:t>1.9%</w:t>
            </w:r>
          </w:p>
        </w:tc>
        <w:tc>
          <w:tcPr>
            <w:tcW w:type="dxa" w:w="3024"/>
          </w:tcPr>
          <w:p>
            <w:pPr>
              <w:spacing w:after="0"/>
            </w:pPr>
            <w:r/>
            <w:r>
              <w:rPr>
                <w:b w:val="0"/>
                <w:sz w:val="19"/>
              </w:rPr>
              <w:t>Real works outside Crossref/OpenAlex</w:t>
            </w:r>
          </w:p>
        </w:tc>
      </w:tr>
      <w:tr>
        <w:tc>
          <w:tcPr>
            <w:tcW w:type="dxa" w:w="3600"/>
            <w:shd w:val="clear" w:fill="EAF1FA"/>
          </w:tcPr>
          <w:p>
            <w:pPr>
              <w:spacing w:after="0"/>
            </w:pPr>
            <w:r/>
            <w:r>
              <w:rPr>
                <w:b/>
                <w:sz w:val="19"/>
              </w:rPr>
              <w:t>→ Survivors of all four sources</w:t>
            </w:r>
          </w:p>
        </w:tc>
        <w:tc>
          <w:tcPr>
            <w:tcW w:type="dxa" w:w="1224"/>
            <w:shd w:val="clear" w:fill="EAF1FA"/>
          </w:tcPr>
          <w:p>
            <w:pPr>
              <w:spacing w:after="0"/>
            </w:pPr>
            <w:r/>
            <w:r>
              <w:rPr>
                <w:b w:val="0"/>
                <w:sz w:val="19"/>
              </w:rPr>
              <w:t>421</w:t>
            </w:r>
          </w:p>
        </w:tc>
        <w:tc>
          <w:tcPr>
            <w:tcW w:type="dxa" w:w="1368"/>
            <w:shd w:val="clear" w:fill="EAF1FA"/>
          </w:tcPr>
          <w:p>
            <w:pPr>
              <w:spacing w:after="0"/>
            </w:pPr>
            <w:r/>
            <w:r>
              <w:rPr>
                <w:b w:val="0"/>
                <w:sz w:val="19"/>
              </w:rPr>
              <w:t>8.4%</w:t>
            </w:r>
          </w:p>
        </w:tc>
        <w:tc>
          <w:tcPr>
            <w:tcW w:type="dxa" w:w="3024"/>
            <w:shd w:val="clear" w:fill="EAF1FA"/>
          </w:tcPr>
          <w:p>
            <w:pPr>
              <w:spacing w:after="0"/>
            </w:pPr>
            <w:r/>
            <w:r>
              <w:rPr>
                <w:b w:val="0"/>
                <w:sz w:val="19"/>
              </w:rPr>
              <w:t>Fabrication candidates for human review</w:t>
            </w:r>
          </w:p>
        </w:tc>
      </w:tr>
    </w:tbl>
    <w:p>
      <w:pPr>
        <w:spacing w:after="80"/>
        <w:jc w:val="both"/>
      </w:pPr>
      <w:r>
        <w:rPr>
          <w:b w:val="0"/>
          <w:i w:val="0"/>
          <w:sz w:val="22"/>
        </w:rPr>
      </w:r>
    </w:p>
    <w:p>
      <w:pPr>
        <w:pStyle w:val="Heading2"/>
      </w:pPr>
      <w:r>
        <w:t>3.2 Standard citation matching fails more than expected</w:t>
      </w:r>
    </w:p>
    <w:p>
      <w:pPr>
        <w:spacing w:after="140"/>
        <w:jc w:val="both"/>
      </w:pPr>
      <w:r>
        <w:rPr>
          <w:b w:val="0"/>
          <w:i w:val="0"/>
          <w:sz w:val="22"/>
        </w:rPr>
        <w:t>The 25.2% “rescue” rate is itself an infrastructure finding: a quarter of the references that Crossref's own deposited data left unlinked are resolvable with a more tolerant matcher. Recovered cases include papers in Nature, Physical Review D, Astroparticle Physics, and American Family Physician — all indexed, all missed because the citation string was abbreviated, title-first without an author, or otherwise malformed.</w:t>
      </w:r>
    </w:p>
    <w:p>
      <w:pPr>
        <w:pStyle w:val="Heading2"/>
      </w:pPr>
      <w:r>
        <w:t>3.3 Careless citation is far more common than fabrication</w:t>
      </w:r>
    </w:p>
    <w:p>
      <w:pPr>
        <w:spacing w:after="140"/>
        <w:jc w:val="both"/>
      </w:pPr>
      <w:r>
        <w:rPr>
          <w:b w:val="0"/>
          <w:i w:val="0"/>
          <w:sz w:val="22"/>
        </w:rPr>
        <w:t>12.3% of unresolved references cite a real work under a year that differs from the registered year by more than two. Sloppy citation, in other words, is an order of magnitude more common in this sample than any plausible rate of fabrication — a descriptive result that, to our knowledge, has not been quantified at this scale.</w:t>
      </w:r>
    </w:p>
    <w:p>
      <w:pPr>
        <w:pStyle w:val="Heading2"/>
      </w:pPr>
      <w:r>
        <w:t>3.4 A large population of real-but-invisible scholarship</w:t>
      </w:r>
    </w:p>
    <w:p>
      <w:pPr>
        <w:spacing w:after="140"/>
        <w:jc w:val="both"/>
      </w:pPr>
      <w:r>
        <w:rPr>
          <w:b w:val="0"/>
          <w:i w:val="0"/>
          <w:sz w:val="22"/>
        </w:rPr>
        <w:t>Of the 517 article-shaped candidates, 96 (18.6%) were located in Semantic Scholar despite being absent from Crossref and OpenAlex. These are real works living outside the major indexes — including articles in established venues as well as regional and delisted journals. Any detector lacking this layer would misclassify them as fabricated.</w:t>
      </w:r>
    </w:p>
    <w:p>
      <w:pPr>
        <w:pStyle w:val="Heading2"/>
      </w:pPr>
      <w:r>
        <w:t>3.5 Prevalence of fabricated references: an upper bound near zero</w:t>
      </w:r>
    </w:p>
    <w:p>
      <w:pPr>
        <w:spacing w:after="140"/>
        <w:jc w:val="both"/>
      </w:pPr>
      <w:r>
        <w:rPr>
          <w:b w:val="0"/>
          <w:i w:val="0"/>
          <w:sz w:val="22"/>
        </w:rPr>
        <w:t>421 references (8.4% of the sample) survived all three databases. Exhaustive manual verification of the 101 most recent (post-2020) survivors — the highest-risk subset — returned the distribution in Table 3: 80.2% were confirmed to exist, 9.9% were author-only citations unverifiable by design, 9.9% were ambiguous (real Chinese-language journals not traceable by web search), and none were confirmed fabricated.</w:t>
      </w:r>
    </w:p>
    <w:p>
      <w:pPr>
        <w:spacing w:after="80"/>
        <w:jc w:val="both"/>
      </w:pPr>
      <w:r>
        <w:rPr>
          <w:b w:val="0"/>
          <w:i/>
          <w:sz w:val="19"/>
        </w:rPr>
        <w:t>Table 3. Manual verification of the 101 most recent (post-2020) survivors.</w:t>
      </w:r>
    </w:p>
    <w:tbl>
      <w:tblPr>
        <w:tblW w:type="auto" w:w="0"/>
        <w:jc w:val="center"/>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160"/>
        <w:gridCol w:w="2160"/>
        <w:gridCol w:w="2160"/>
        <w:gridCol w:w="2160"/>
      </w:tblGrid>
      <w:tr>
        <w:tc>
          <w:tcPr>
            <w:tcW w:type="dxa" w:w="3456"/>
            <w:shd w:val="clear" w:fill="1F4E79"/>
          </w:tcPr>
          <w:p>
            <w:pPr>
              <w:spacing w:after="0"/>
            </w:pPr>
            <w:r/>
            <w:r>
              <w:rPr>
                <w:b/>
                <w:color w:val="FFFFFF"/>
                <w:sz w:val="19"/>
              </w:rPr>
              <w:t>Verdict</w:t>
            </w:r>
          </w:p>
        </w:tc>
        <w:tc>
          <w:tcPr>
            <w:tcW w:type="dxa" w:w="1152"/>
            <w:shd w:val="clear" w:fill="1F4E79"/>
          </w:tcPr>
          <w:p>
            <w:pPr>
              <w:spacing w:after="0"/>
            </w:pPr>
            <w:r/>
            <w:r>
              <w:rPr>
                <w:b/>
                <w:color w:val="FFFFFF"/>
                <w:sz w:val="19"/>
              </w:rPr>
              <w:t>n</w:t>
            </w:r>
          </w:p>
        </w:tc>
        <w:tc>
          <w:tcPr>
            <w:tcW w:type="dxa" w:w="1296"/>
            <w:shd w:val="clear" w:fill="1F4E79"/>
          </w:tcPr>
          <w:p>
            <w:pPr>
              <w:spacing w:after="0"/>
            </w:pPr>
            <w:r/>
            <w:r>
              <w:rPr>
                <w:b/>
                <w:color w:val="FFFFFF"/>
                <w:sz w:val="19"/>
              </w:rPr>
              <w:t>%</w:t>
            </w:r>
          </w:p>
        </w:tc>
        <w:tc>
          <w:tcPr>
            <w:tcW w:type="dxa" w:w="3312"/>
            <w:shd w:val="clear" w:fill="1F4E79"/>
          </w:tcPr>
          <w:p>
            <w:pPr>
              <w:spacing w:after="0"/>
            </w:pPr>
            <w:r/>
            <w:r>
              <w:rPr>
                <w:b/>
                <w:color w:val="FFFFFF"/>
                <w:sz w:val="19"/>
              </w:rPr>
              <w:t>Why it survived four sources</w:t>
            </w:r>
          </w:p>
        </w:tc>
      </w:tr>
      <w:tr>
        <w:tc>
          <w:tcPr>
            <w:tcW w:type="dxa" w:w="3456"/>
          </w:tcPr>
          <w:p>
            <w:pPr>
              <w:spacing w:after="0"/>
            </w:pPr>
            <w:r/>
            <w:r>
              <w:rPr>
                <w:b w:val="0"/>
                <w:sz w:val="19"/>
              </w:rPr>
              <w:t>Confirmed to exist</w:t>
            </w:r>
          </w:p>
        </w:tc>
        <w:tc>
          <w:tcPr>
            <w:tcW w:type="dxa" w:w="1152"/>
          </w:tcPr>
          <w:p>
            <w:pPr>
              <w:spacing w:after="0"/>
            </w:pPr>
            <w:r/>
            <w:r>
              <w:rPr>
                <w:b w:val="0"/>
                <w:sz w:val="19"/>
              </w:rPr>
              <w:t>81</w:t>
            </w:r>
          </w:p>
        </w:tc>
        <w:tc>
          <w:tcPr>
            <w:tcW w:type="dxa" w:w="1296"/>
          </w:tcPr>
          <w:p>
            <w:pPr>
              <w:spacing w:after="0"/>
            </w:pPr>
            <w:r/>
            <w:r>
              <w:rPr>
                <w:b w:val="0"/>
                <w:sz w:val="19"/>
              </w:rPr>
              <w:t>80.2%</w:t>
            </w:r>
          </w:p>
        </w:tc>
        <w:tc>
          <w:tcPr>
            <w:tcW w:type="dxa" w:w="3312"/>
          </w:tcPr>
          <w:p>
            <w:pPr>
              <w:spacing w:after="0"/>
            </w:pPr>
            <w:r/>
            <w:r>
              <w:rPr>
                <w:b w:val="0"/>
                <w:sz w:val="19"/>
              </w:rPr>
              <w:t>Real work located by web search</w:t>
            </w:r>
          </w:p>
        </w:tc>
      </w:tr>
      <w:tr>
        <w:tc>
          <w:tcPr>
            <w:tcW w:type="dxa" w:w="3456"/>
          </w:tcPr>
          <w:p>
            <w:pPr>
              <w:spacing w:after="0"/>
            </w:pPr>
            <w:r/>
            <w:r>
              <w:rPr>
                <w:b w:val="0"/>
                <w:sz w:val="19"/>
              </w:rPr>
              <w:t>Author-only (untitled) citation</w:t>
            </w:r>
          </w:p>
        </w:tc>
        <w:tc>
          <w:tcPr>
            <w:tcW w:type="dxa" w:w="1152"/>
          </w:tcPr>
          <w:p>
            <w:pPr>
              <w:spacing w:after="0"/>
            </w:pPr>
            <w:r/>
            <w:r>
              <w:rPr>
                <w:b w:val="0"/>
                <w:sz w:val="19"/>
              </w:rPr>
              <w:t>10</w:t>
            </w:r>
          </w:p>
        </w:tc>
        <w:tc>
          <w:tcPr>
            <w:tcW w:type="dxa" w:w="1296"/>
          </w:tcPr>
          <w:p>
            <w:pPr>
              <w:spacing w:after="0"/>
            </w:pPr>
            <w:r/>
            <w:r>
              <w:rPr>
                <w:b w:val="0"/>
                <w:sz w:val="19"/>
              </w:rPr>
              <w:t>9.9%</w:t>
            </w:r>
          </w:p>
        </w:tc>
        <w:tc>
          <w:tcPr>
            <w:tcW w:type="dxa" w:w="3312"/>
          </w:tcPr>
          <w:p>
            <w:pPr>
              <w:spacing w:after="0"/>
            </w:pPr>
            <w:r/>
            <w:r>
              <w:rPr>
                <w:b w:val="0"/>
                <w:sz w:val="19"/>
              </w:rPr>
              <w:t>No title to match; unverifiable by design</w:t>
            </w:r>
          </w:p>
        </w:tc>
      </w:tr>
      <w:tr>
        <w:tc>
          <w:tcPr>
            <w:tcW w:type="dxa" w:w="3456"/>
          </w:tcPr>
          <w:p>
            <w:pPr>
              <w:spacing w:after="0"/>
            </w:pPr>
            <w:r/>
            <w:r>
              <w:rPr>
                <w:b w:val="0"/>
                <w:sz w:val="19"/>
              </w:rPr>
              <w:t>Ambiguous</w:t>
            </w:r>
          </w:p>
        </w:tc>
        <w:tc>
          <w:tcPr>
            <w:tcW w:type="dxa" w:w="1152"/>
          </w:tcPr>
          <w:p>
            <w:pPr>
              <w:spacing w:after="0"/>
            </w:pPr>
            <w:r/>
            <w:r>
              <w:rPr>
                <w:b w:val="0"/>
                <w:sz w:val="19"/>
              </w:rPr>
              <w:t>10</w:t>
            </w:r>
          </w:p>
        </w:tc>
        <w:tc>
          <w:tcPr>
            <w:tcW w:type="dxa" w:w="1296"/>
          </w:tcPr>
          <w:p>
            <w:pPr>
              <w:spacing w:after="0"/>
            </w:pPr>
            <w:r/>
            <w:r>
              <w:rPr>
                <w:b w:val="0"/>
                <w:sz w:val="19"/>
              </w:rPr>
              <w:t>9.9%</w:t>
            </w:r>
          </w:p>
        </w:tc>
        <w:tc>
          <w:tcPr>
            <w:tcW w:type="dxa" w:w="3312"/>
          </w:tcPr>
          <w:p>
            <w:pPr>
              <w:spacing w:after="0"/>
            </w:pPr>
            <w:r/>
            <w:r>
              <w:rPr>
                <w:b w:val="0"/>
                <w:sz w:val="19"/>
              </w:rPr>
              <w:t>Chinese-language journals not web-traceable</w:t>
            </w:r>
          </w:p>
        </w:tc>
      </w:tr>
      <w:tr>
        <w:tc>
          <w:tcPr>
            <w:tcW w:type="dxa" w:w="3456"/>
            <w:shd w:val="clear" w:fill="FCEBEB"/>
          </w:tcPr>
          <w:p>
            <w:pPr>
              <w:spacing w:after="0"/>
            </w:pPr>
            <w:r/>
            <w:r>
              <w:rPr>
                <w:b/>
                <w:color w:val="8A0000"/>
                <w:sz w:val="19"/>
              </w:rPr>
              <w:t>Confirmed fabricated</w:t>
            </w:r>
          </w:p>
        </w:tc>
        <w:tc>
          <w:tcPr>
            <w:tcW w:type="dxa" w:w="1152"/>
            <w:shd w:val="clear" w:fill="FCEBEB"/>
          </w:tcPr>
          <w:p>
            <w:pPr>
              <w:spacing w:after="0"/>
            </w:pPr>
            <w:r/>
            <w:r>
              <w:rPr>
                <w:b w:val="0"/>
                <w:color w:val="8A0000"/>
                <w:sz w:val="19"/>
              </w:rPr>
              <w:t>0</w:t>
            </w:r>
          </w:p>
        </w:tc>
        <w:tc>
          <w:tcPr>
            <w:tcW w:type="dxa" w:w="1296"/>
            <w:shd w:val="clear" w:fill="FCEBEB"/>
          </w:tcPr>
          <w:p>
            <w:pPr>
              <w:spacing w:after="0"/>
            </w:pPr>
            <w:r/>
            <w:r>
              <w:rPr>
                <w:b w:val="0"/>
                <w:color w:val="8A0000"/>
                <w:sz w:val="19"/>
              </w:rPr>
              <w:t>0.0%</w:t>
            </w:r>
          </w:p>
        </w:tc>
        <w:tc>
          <w:tcPr>
            <w:tcW w:type="dxa" w:w="3312"/>
            <w:shd w:val="clear" w:fill="FCEBEB"/>
          </w:tcPr>
          <w:p>
            <w:pPr>
              <w:spacing w:after="0"/>
            </w:pPr>
            <w:r/>
            <w:r>
              <w:rPr>
                <w:b w:val="0"/>
                <w:color w:val="8A0000"/>
                <w:sz w:val="19"/>
              </w:rPr>
              <w:t>None</w:t>
            </w:r>
          </w:p>
        </w:tc>
      </w:tr>
    </w:tbl>
    <w:p>
      <w:pPr>
        <w:spacing w:after="80"/>
        <w:jc w:val="both"/>
      </w:pPr>
      <w:r>
        <w:rPr>
          <w:b w:val="0"/>
          <w:i w:val="0"/>
          <w:sz w:val="22"/>
        </w:rPr>
      </w:r>
    </w:p>
    <w:p>
      <w:pPr>
        <w:spacing w:after="140"/>
        <w:jc w:val="both"/>
      </w:pPr>
      <w:r>
        <w:rPr>
          <w:b w:val="0"/>
          <w:i w:val="0"/>
          <w:sz w:val="22"/>
        </w:rPr>
        <w:t xml:space="preserve">The dominant reasons a survivor reached Stage 4 without being fabricated were: (i) publication in a non-indexed regional journal (Chinese, Indonesian, Indian, African, Turkish, Korean, and others); (ii) </w:t>
      </w:r>
      <w:r>
        <w:rPr>
          <w:b/>
          <w:i w:val="0"/>
          <w:sz w:val="22"/>
        </w:rPr>
        <w:t>matcher false negatives</w:t>
      </w:r>
      <w:r>
        <w:rPr>
          <w:b w:val="0"/>
          <w:i w:val="0"/>
          <w:sz w:val="22"/>
        </w:rPr>
        <w:t xml:space="preserve"> — real works with a DOI in Crossref whose citation string was mutilated or title-first; (iii) publication in delisted/predatory venues; and (iv) author-only citations carrying no title. We therefore find no evidence of fabricated references in this sample, and read the true prevalence as effectively zero here, with the raw survivor count almost entirely explained by invisible scholarship and matching failure.</w:t>
      </w:r>
    </w:p>
    <w:p>
      <w:pPr>
        <w:pStyle w:val="Heading2"/>
      </w:pPr>
      <w:r>
        <w:t>3.6 Retracted works cited as valid, and the duplicate-DOI blind spot</w:t>
      </w:r>
    </w:p>
    <w:p>
      <w:pPr>
        <w:spacing w:after="140"/>
        <w:jc w:val="both"/>
      </w:pPr>
      <w:r>
        <w:rPr>
          <w:b w:val="0"/>
          <w:i w:val="0"/>
          <w:sz w:val="22"/>
        </w:rPr>
        <w:t>No retracted works appeared in the 5,000-reference sample, consistent with their rarity in absolute terms. The methodological finding of Section 2.4 stands independently: DOI-only retraction checks can silently pass retracted works that carry duplicate DOI registrations.</w:t>
      </w:r>
    </w:p>
    <w:p>
      <w:pPr>
        <w:spacing w:after="140"/>
        <w:ind w:left="216"/>
        <w:shd w:val="clear" w:fill="FFF3CD"/>
        <w:pBdr>
          <w:left w:val="single" w:sz="18" w:space="6" w:color="E0A800"/>
        </w:pBdr>
      </w:pPr>
      <w:r>
        <w:rPr>
          <w:b/>
          <w:color w:val="8A6D00"/>
          <w:sz w:val="18"/>
        </w:rPr>
        <w:t xml:space="preserve">DRAFTING NOTE  </w:t>
      </w:r>
      <w:r>
        <w:rPr>
          <w:i/>
          <w:color w:val="6B5900"/>
          <w:sz w:val="18"/>
        </w:rPr>
        <w:t>3.5 reports an UPPER BOUND (zero confirmed in 101), not a point estimate with a CI. For Q1, state the Rule-of-Three bound explicitly (0/101 ⇒ 95% one-sided upper bound ≈ 3% of survivors ≈ 0.25% of the sample) and position the powered, large-scale prevalence estimate as future work / a second paper.</w:t>
      </w:r>
    </w:p>
    <w:p>
      <w:pPr>
        <w:pStyle w:val="Heading1"/>
      </w:pPr>
      <w:r>
        <w:t>4. Discussion</w:t>
      </w:r>
    </w:p>
    <w:p>
      <w:pPr>
        <w:spacing w:after="140"/>
        <w:jc w:val="both"/>
      </w:pPr>
      <w:r>
        <w:rPr>
          <w:b w:val="0"/>
          <w:i w:val="0"/>
          <w:sz w:val="22"/>
        </w:rPr>
        <w:t>Our central result reframes the hallucinated-reference problem. In a multidisciplinary sample, the prevalence of genuinely fabricated references is not merely low — it is undetectable without a verification pipeline whose main job is to strip away two large confounders. The first is the fragility of citation matching: abbreviated journal names, title-first citations, and author-only styles defeat automated resolution even for papers in Nature or Physical Review D. The second is the invisibility of a substantial body of legitimate scholarship — regional, non-English, and delisted journals — to the major bibliographic databases.</w:t>
      </w:r>
    </w:p>
    <w:p>
      <w:pPr>
        <w:spacing w:after="140"/>
        <w:jc w:val="both"/>
      </w:pPr>
      <w:r>
        <w:rPr>
          <w:b w:val="0"/>
          <w:i w:val="0"/>
          <w:sz w:val="22"/>
        </w:rPr>
        <w:t>These findings carry a direct warning for the emerging market of automated citation-checking tools: any system that equates “not found” with “fabricated” will report false-positive rates that dwarf the true signal, disproportionately flagging scholarship from the Global South and from smaller venues. The methodological contribution of this work is therefore less a prevalence number than a demonstration of why that number cannot be read off unvalidated detection, and a taxonomy — recoverable, erroneous, non-indexed, mutilated, fabricated — that a credible tool must implement.</w:t>
      </w:r>
    </w:p>
    <w:p>
      <w:pPr>
        <w:spacing w:after="140"/>
        <w:jc w:val="both"/>
      </w:pPr>
      <w:r>
        <w:rPr>
          <w:b w:val="0"/>
          <w:i w:val="0"/>
          <w:sz w:val="22"/>
        </w:rPr>
        <w:t>We also surface a distinct data-quality category that merits its own name: the mutilated citation — a reference to a real work rendered unmatchable by extreme abbreviation. Distinguishing it from both fabrication and invisibility is necessary for any accurate accounting of citation integrity.</w:t>
      </w:r>
    </w:p>
    <w:p>
      <w:pPr>
        <w:pStyle w:val="Heading2"/>
      </w:pPr>
      <w:r>
        <w:t>4.1 From finding to practice: a deployed tool</w:t>
      </w:r>
    </w:p>
    <w:p>
      <w:pPr>
        <w:spacing w:after="140"/>
        <w:jc w:val="both"/>
      </w:pPr>
      <w:r>
        <w:rPr>
          <w:b w:val="0"/>
          <w:i w:val="0"/>
          <w:sz w:val="22"/>
        </w:rPr>
        <w:t xml:space="preserve">Unlike the prevalence estimate, which we report as an upper bound pending a larger study (Section 3.5), the screening tool described in Section 2.7 is a concrete, immediately usable artifact: it is live, free, and requires no infrastructure beyond a browser. We consider this an important complement to the empirical finding rather than a secondary output. A tool that reports a raw </w:t>
      </w:r>
      <w:r>
        <w:rPr>
          <w:b w:val="0"/>
          <w:i/>
          <w:sz w:val="22"/>
        </w:rPr>
        <w:t>not found</w:t>
      </w:r>
      <w:r>
        <w:rPr>
          <w:b w:val="0"/>
          <w:i w:val="0"/>
          <w:sz w:val="22"/>
        </w:rPr>
        <w:t xml:space="preserve"> as a confident verdict reproduces at implementation level the exact conflation this paper argues against at the analytical level — and, briefly during development, ours did exactly that.</w:t>
      </w:r>
    </w:p>
    <w:p>
      <w:pPr>
        <w:spacing w:before="120"/>
        <w:jc w:val="center"/>
      </w:pPr>
      <w:r>
        <w:drawing>
          <wp:inline xmlns:a="http://schemas.openxmlformats.org/drawingml/2006/main" xmlns:pic="http://schemas.openxmlformats.org/drawingml/2006/picture">
            <wp:extent cx="5120640" cy="3917172"/>
            <wp:docPr id="2" name="Picture 2"/>
            <wp:cNvGraphicFramePr>
              <a:graphicFrameLocks noChangeAspect="1"/>
            </wp:cNvGraphicFramePr>
            <a:graphic>
              <a:graphicData uri="http://schemas.openxmlformats.org/drawingml/2006/picture">
                <pic:pic>
                  <pic:nvPicPr>
                    <pic:cNvPr id="0" name="captura_app_1.png"/>
                    <pic:cNvPicPr/>
                  </pic:nvPicPr>
                  <pic:blipFill>
                    <a:blip r:embed="rId10"/>
                    <a:stretch>
                      <a:fillRect/>
                    </a:stretch>
                  </pic:blipFill>
                  <pic:spPr>
                    <a:xfrm>
                      <a:off x="0" y="0"/>
                      <a:ext cx="5120640" cy="3917172"/>
                    </a:xfrm>
                    <a:prstGeom prst="rect"/>
                  </pic:spPr>
                </pic:pic>
              </a:graphicData>
            </a:graphic>
          </wp:inline>
        </w:drawing>
      </w:r>
    </w:p>
    <w:p>
      <w:pPr>
        <w:spacing w:after="200"/>
        <w:jc w:val="center"/>
      </w:pPr>
      <w:r>
        <w:rPr>
          <w:i/>
          <w:color w:val="595959"/>
          <w:sz w:val="19"/>
        </w:rPr>
        <w:t>Figure 2. Output of the public tool on the seven-reference test set of Section 2.3, captured during a period of sustained upstream rate limiting from OpenAlex. Rather than silently defaulting to a clean verdict, the tool reports explicitly that the retraction check could not be confirmed (see annotation under the first result).</w:t>
      </w:r>
    </w:p>
    <w:p>
      <w:pPr>
        <w:spacing w:after="140"/>
        <w:jc w:val="both"/>
      </w:pPr>
      <w:r>
        <w:rPr>
          <w:b w:val="0"/>
          <w:i w:val="0"/>
          <w:sz w:val="22"/>
        </w:rPr>
        <w:t xml:space="preserve">During live testing (Figure 2) we identified a failure mode in which a rate-limited (HTTP 429) response from OpenAlex was silently treated as a confirmed </w:t>
      </w:r>
      <w:r>
        <w:rPr>
          <w:b w:val="0"/>
          <w:i/>
          <w:sz w:val="22"/>
        </w:rPr>
        <w:t>not retracted</w:t>
      </w:r>
      <w:r>
        <w:rPr>
          <w:b w:val="0"/>
          <w:i w:val="0"/>
          <w:sz w:val="22"/>
        </w:rPr>
        <w:t xml:space="preserve"> result, rather than as a failed check. We revised the tool so that a failed retraction check is reported to the user explicitly ("retraction status could not be confirmed — verify manually") rather than defaulting to a clean verdict. We surface this not as a footnote but as a design principle: a screening tool must fail loudly, not silently. Making this failure mode visible, and fixing it under real operating conditions rather than a simulated one, is evidence that the taxonomy proposed here is not only descriptively useful but operationally enforceable.</w:t>
      </w:r>
    </w:p>
    <w:p>
      <w:pPr>
        <w:pStyle w:val="Heading2"/>
      </w:pPr>
      <w:r>
        <w:t>4.2 Limitations</w:t>
      </w:r>
    </w:p>
    <w:p>
      <w:pPr>
        <w:pStyle w:val="ListBullet"/>
        <w:spacing w:after="80"/>
      </w:pPr>
      <w:r>
        <w:rPr>
          <w:sz w:val="22"/>
        </w:rPr>
        <w:t>Open-reference bias: journals depositing open references are more rigorous, so prevalence here is a lower bound.</w:t>
      </w:r>
    </w:p>
    <w:p>
      <w:pPr>
        <w:pStyle w:val="ListBullet"/>
        <w:spacing w:after="80"/>
      </w:pPr>
      <w:r>
        <w:rPr>
          <w:sz w:val="22"/>
        </w:rPr>
        <w:t>Language/matching bias: the matcher underperforms on non-Latin-script and author-only citations, inflating the ambiguous class.</w:t>
      </w:r>
    </w:p>
    <w:p>
      <w:pPr>
        <w:pStyle w:val="ListBullet"/>
        <w:spacing w:after="80"/>
      </w:pPr>
      <w:r>
        <w:rPr>
          <w:sz w:val="22"/>
        </w:rPr>
        <w:t>Sample size: with zero fabrications observed, only an upper bound on prevalence can be stated; a point estimate requires a far larger sample.</w:t>
      </w:r>
    </w:p>
    <w:p>
      <w:pPr>
        <w:pStyle w:val="ListBullet"/>
        <w:spacing w:after="80"/>
      </w:pPr>
      <w:r>
        <w:rPr>
          <w:sz w:val="22"/>
        </w:rPr>
        <w:t>No PDF parsing: we rely on deposited reference strings, not the full text of citing articles.</w:t>
      </w:r>
    </w:p>
    <w:p>
      <w:pPr>
        <w:pStyle w:val="Heading1"/>
      </w:pPr>
      <w:r>
        <w:t>5. Conclusion</w:t>
      </w:r>
    </w:p>
    <w:p>
      <w:pPr>
        <w:spacing w:after="140"/>
        <w:jc w:val="both"/>
      </w:pPr>
      <w:r>
        <w:rPr>
          <w:b w:val="0"/>
          <w:i w:val="0"/>
          <w:sz w:val="22"/>
        </w:rPr>
        <w:t>Fabricated references are, on present evidence, a much smaller problem than unvalidated detection implies. What looks like fabrication in the citation record is overwhelmingly real scholarship made invisible by indexing gaps and by brittle citation matching. A credible integrity tool — and a credible prevalence estimate — must separate these populations rather than collapse them. We provide such a tool, an annotated benchmark, and a taxonomy, and we position a large-scale prevalence estimate, powered to observe positive cases, as the natural next step.</w:t>
      </w:r>
    </w:p>
    <w:p>
      <w:pPr>
        <w:pStyle w:val="Heading1"/>
      </w:pPr>
      <w:r>
        <w:t>Data and Code Availability</w:t>
      </w:r>
    </w:p>
    <w:p>
      <w:pPr>
        <w:spacing w:after="140"/>
        <w:jc w:val="both"/>
      </w:pPr>
      <w:r>
        <w:rPr>
          <w:b w:val="0"/>
          <w:i w:val="0"/>
          <w:sz w:val="22"/>
        </w:rPr>
        <w:t xml:space="preserve">The verification code, the 5,000 sampled references with citing-article provenance, the full cascade output, and the annotated 101-reference survivor set are openly available at </w:t>
      </w:r>
      <w:r>
        <w:rPr>
          <w:b/>
          <w:i w:val="0"/>
          <w:sz w:val="22"/>
        </w:rPr>
        <w:t>github.com/danielaristo/reference-integrity-checker</w:t>
      </w:r>
      <w:r>
        <w:rPr>
          <w:b w:val="0"/>
          <w:i w:val="0"/>
          <w:sz w:val="22"/>
        </w:rPr>
        <w:t xml:space="preserve">. A free, no-installation web application implementing Stages 1–2 of the cascade is publicly available at </w:t>
      </w:r>
      <w:r>
        <w:rPr>
          <w:b/>
          <w:i w:val="0"/>
          <w:sz w:val="22"/>
        </w:rPr>
        <w:t>reftruth.com</w:t>
      </w:r>
      <w:r>
        <w:rPr>
          <w:b w:val="0"/>
          <w:i w:val="0"/>
          <w:sz w:val="22"/>
        </w:rPr>
        <w:t xml:space="preserve"> for authors, editors, and reviewers to screen bibliographies before publication.</w:t>
      </w:r>
    </w:p>
    <w:p>
      <w:pPr>
        <w:pStyle w:val="Heading1"/>
      </w:pPr>
      <w:r>
        <w:t>References</w:t>
      </w:r>
    </w:p>
    <w:p>
      <w:pPr>
        <w:spacing w:after="140"/>
        <w:ind w:left="216"/>
        <w:shd w:val="clear" w:fill="FFF3CD"/>
        <w:pBdr>
          <w:left w:val="single" w:sz="18" w:space="6" w:color="E0A800"/>
        </w:pBdr>
      </w:pPr>
      <w:r>
        <w:rPr>
          <w:b/>
          <w:color w:val="8A6D00"/>
          <w:sz w:val="18"/>
        </w:rPr>
        <w:t xml:space="preserve">DRAFTING NOTE  </w:t>
      </w:r>
      <w:r>
        <w:rPr>
          <w:i/>
          <w:color w:val="6B5900"/>
          <w:sz w:val="18"/>
        </w:rPr>
        <w:t>All 21 entries below were verified against Crossref/OpenAlex with this paper's own tool before inclusion — none cited from memory. Author lists truncated to first author + "et al." beyond four names, per journal convention; full lists available via the DOI.</w:t>
      </w:r>
    </w:p>
    <w:p>
      <w:pPr>
        <w:spacing w:after="160"/>
        <w:ind w:left="432" w:hanging="432"/>
      </w:pPr>
      <w:r>
        <w:rPr>
          <w:sz w:val="21"/>
        </w:rPr>
        <w:t>Abalkina, A., Aquarius, K., Bik, E.-M., et al. (2025). 'Stamp out paper mills' — science sleuths on how to fight fake research. Nature, 637(8048), 1047–1050. https://doi.org/10.1038/d41586-025-00212-1</w:t>
      </w:r>
    </w:p>
    <w:p>
      <w:pPr>
        <w:spacing w:after="160"/>
        <w:ind w:left="432" w:hanging="432"/>
      </w:pPr>
      <w:r>
        <w:rPr>
          <w:sz w:val="21"/>
        </w:rPr>
        <w:t>Ammar, W., Groeneveld, D., Bhagavatula, C., et al. (2018). Construction of the literature graph in Semantic Scholar. Proceedings of NAACL-HLT 2018, Industry Papers, 84–91. https://doi.org/10.18653/v1/n18-3011</w:t>
      </w:r>
    </w:p>
    <w:p>
      <w:pPr>
        <w:spacing w:after="160"/>
        <w:ind w:left="432" w:hanging="432"/>
      </w:pPr>
      <w:r>
        <w:rPr>
          <w:sz w:val="21"/>
        </w:rPr>
        <w:t>Aria, M., &amp; Cuccurullo, C. (2017). bibliometrix: An R-tool for comprehensive science mapping analysis. Journal of Informetrics, 11(4), 959–975. https://doi.org/10.1016/j.joi.2017.08.007</w:t>
      </w:r>
    </w:p>
    <w:p>
      <w:pPr>
        <w:spacing w:after="160"/>
        <w:ind w:left="432" w:hanging="432"/>
      </w:pPr>
      <w:r>
        <w:rPr>
          <w:sz w:val="21"/>
        </w:rPr>
        <w:t>Asubiaro, T., Onaolapo, S., &amp; Mills, D. (2024). Regional disparities in Web of Science and Scopus journal coverage. Scientometrics, 129(3), 1469–1491. https://doi.org/10.1007/s11192-024-04948-x</w:t>
      </w:r>
    </w:p>
    <w:p>
      <w:pPr>
        <w:spacing w:after="160"/>
        <w:ind w:left="432" w:hanging="432"/>
      </w:pPr>
      <w:r>
        <w:rPr>
          <w:sz w:val="21"/>
        </w:rPr>
        <w:t>Cabanac, G., &amp; Labbé, C. (2021). Prevalence of nonsensical algorithmically generated papers in the scientific literature. Journal of the Association for Information Science and Technology, 72(12), 1461–1476. https://doi.org/10.1002/asi.24495</w:t>
      </w:r>
    </w:p>
    <w:p>
      <w:pPr>
        <w:spacing w:after="160"/>
        <w:ind w:left="432" w:hanging="432"/>
      </w:pPr>
      <w:r>
        <w:rPr>
          <w:sz w:val="21"/>
        </w:rPr>
        <w:t>Culbert, J., Hobert, A., &amp; Jahn, N. (2025). Reference coverage analysis of OpenAlex compared to Web of Science and Scopus. Scientometrics, 130(4), 2475–2492. https://doi.org/10.1007/s11192-025-05293-3</w:t>
      </w:r>
    </w:p>
    <w:p>
      <w:pPr>
        <w:spacing w:after="160"/>
        <w:ind w:left="432" w:hanging="432"/>
      </w:pPr>
      <w:r>
        <w:rPr>
          <w:sz w:val="21"/>
        </w:rPr>
        <w:t>Dahl, M., Magesh, V., Suzgun, M., &amp; Ho, D. E. (2024). Large legal fictions: Profiling legal hallucinations in large language models. Journal of Legal Analysis, 16(1), 64–93. https://doi.org/10.1093/jla/laae003</w:t>
      </w:r>
    </w:p>
    <w:p>
      <w:pPr>
        <w:spacing w:after="160"/>
        <w:ind w:left="432" w:hanging="432"/>
      </w:pPr>
      <w:r>
        <w:rPr>
          <w:sz w:val="21"/>
        </w:rPr>
        <w:t>Emsley, R. (2023). ChatGPT: These are not hallucinations – they're fabrications and falsifications. Schizophrenia, 9, 52. https://doi.org/10.1038/s41537-023-00379-4</w:t>
      </w:r>
    </w:p>
    <w:p>
      <w:pPr>
        <w:spacing w:after="160"/>
        <w:ind w:left="432" w:hanging="432"/>
      </w:pPr>
      <w:r>
        <w:rPr>
          <w:sz w:val="21"/>
        </w:rPr>
        <w:t>Grudniewicz, A., Moher, D., Cobey, K. D., et al. (2019). Predatory journals: No definition, no defence. Nature, 576(7786), 210–212. https://doi.org/10.1038/d41586-019-03759-y</w:t>
      </w:r>
    </w:p>
    <w:p>
      <w:pPr>
        <w:spacing w:after="160"/>
        <w:ind w:left="432" w:hanging="432"/>
      </w:pPr>
      <w:r>
        <w:rPr>
          <w:sz w:val="21"/>
        </w:rPr>
        <w:t>Ioannidis, J. P. A. (2005). Why most published research findings are false. PLoS Medicine, 2(8), e124. https://doi.org/10.1371/journal.pmed.0020124</w:t>
      </w:r>
    </w:p>
    <w:p>
      <w:pPr>
        <w:spacing w:after="160"/>
        <w:ind w:left="432" w:hanging="432"/>
      </w:pPr>
      <w:r>
        <w:rPr>
          <w:sz w:val="21"/>
        </w:rPr>
        <w:t>Jergas, H., &amp; Baethge, C. (2015). Quotation accuracy in medical journal articles — a systematic review and meta-analysis. PeerJ, 3, e1364. https://doi.org/10.7717/peerj.1364</w:t>
      </w:r>
    </w:p>
    <w:p>
      <w:pPr>
        <w:spacing w:after="160"/>
        <w:ind w:left="432" w:hanging="432"/>
      </w:pPr>
      <w:r>
        <w:rPr>
          <w:sz w:val="21"/>
        </w:rPr>
        <w:t>Ji, Z., Lee, N., Frieske, R., et al. (2023). Survey of hallucination in natural language generation. ACM Computing Surveys, 55(12), 1–38. https://doi.org/10.1145/3571730</w:t>
      </w:r>
    </w:p>
    <w:p>
      <w:pPr>
        <w:spacing w:after="160"/>
        <w:ind w:left="432" w:hanging="432"/>
      </w:pPr>
      <w:r>
        <w:rPr>
          <w:sz w:val="21"/>
        </w:rPr>
        <w:t>Kojaku, S., Livan, G., &amp; Masuda, N. (2021). Detecting anomalous citation groups in journal networks. Scientific Reports, 11, 14524. https://doi.org/10.1038/s41598-021-93572-3</w:t>
      </w:r>
    </w:p>
    <w:p>
      <w:pPr>
        <w:spacing w:after="160"/>
        <w:ind w:left="432" w:hanging="432"/>
      </w:pPr>
      <w:r>
        <w:rPr>
          <w:sz w:val="21"/>
        </w:rPr>
        <w:t>Martín-Martín, A., Orduna-Malea, E., &amp; Thelwall, M. (2018). Google Scholar, Web of Science, and Scopus: A systematic comparison of citations in 252 subject categories. Journal of Informetrics, 12(4), 1160–1177. https://doi.org/10.1016/j.joi.2018.09.002</w:t>
      </w:r>
    </w:p>
    <w:p>
      <w:pPr>
        <w:spacing w:after="160"/>
        <w:ind w:left="432" w:hanging="432"/>
      </w:pPr>
      <w:r>
        <w:rPr>
          <w:sz w:val="21"/>
        </w:rPr>
        <w:t>Peroni, S., &amp; Shotton, D. (2020). OpenCitations, an infrastructure organization for open scholarship. Quantitative Science Studies, 1(1), 428–444. https://doi.org/10.1162/qss_a_00023</w:t>
      </w:r>
    </w:p>
    <w:p>
      <w:pPr>
        <w:spacing w:after="160"/>
        <w:ind w:left="432" w:hanging="432"/>
      </w:pPr>
      <w:r>
        <w:rPr>
          <w:sz w:val="21"/>
        </w:rPr>
        <w:t>Priem, J., Piwowar, H., &amp; Orr, R. (2022). OpenAlex: A fully-open index of scholarly works, authors, venues, institutions, and concepts [Preprint]. arXiv:2205.01833. https://doi.org/10.48550/arXiv.2205.01833</w:t>
      </w:r>
    </w:p>
    <w:p>
      <w:pPr>
        <w:spacing w:after="160"/>
        <w:ind w:left="432" w:hanging="432"/>
      </w:pPr>
      <w:r>
        <w:rPr>
          <w:sz w:val="21"/>
        </w:rPr>
        <w:t>Van Noorden, R. (2023). More than 10,000 research papers were retracted in 2023 — a new record. Nature, 624(7992), 479–481. https://doi.org/10.1038/d41586-023-03974-8</w:t>
      </w:r>
    </w:p>
    <w:p>
      <w:pPr>
        <w:spacing w:after="160"/>
        <w:ind w:left="432" w:hanging="432"/>
      </w:pPr>
      <w:r>
        <w:rPr>
          <w:sz w:val="21"/>
        </w:rPr>
        <w:t>van Eck, N. J., &amp; Waltman, L. (2010). Software survey: VOSviewer, a computer program for bibliometric mapping. Scientometrics, 84(2), 523–538. https://doi.org/10.1007/s11192-009-0146-3</w:t>
      </w:r>
    </w:p>
    <w:p>
      <w:pPr>
        <w:spacing w:after="160"/>
        <w:ind w:left="432" w:hanging="432"/>
      </w:pPr>
      <w:r>
        <w:rPr>
          <w:sz w:val="21"/>
        </w:rPr>
        <w:t>Visser, M., van Eck, N. J., &amp; Waltman, L. (2021). Large-scale comparison of bibliographic data sources: Scopus, Web of Science, Dimensions, Crossref, and Microsoft Academic. Quantitative Science Studies, 2(1), 20–41. https://doi.org/10.1162/qss_a_00112</w:t>
      </w:r>
    </w:p>
    <w:p>
      <w:pPr>
        <w:spacing w:after="160"/>
        <w:ind w:left="432" w:hanging="432"/>
      </w:pPr>
      <w:r>
        <w:rPr>
          <w:sz w:val="21"/>
        </w:rPr>
        <w:t>Walters, W. H., &amp; Wilder, E. I. (2023). Fabrication and errors in the bibliographic citations generated by ChatGPT. Scientific Reports, 13, 14045. https://doi.org/10.1038/s41598-023-41032-5</w:t>
      </w:r>
    </w:p>
    <w:p>
      <w:pPr>
        <w:spacing w:after="160"/>
        <w:ind w:left="432" w:hanging="432"/>
      </w:pPr>
      <w:r>
        <w:rPr>
          <w:sz w:val="21"/>
        </w:rPr>
        <w:t>Zhang, T. M., &amp; Abernethy, N. F. (2024). Detecting reference errors in scientific literature with large language models [Preprint]. arXiv:2411.06101. https://doi.org/10.48550/arXiv.2411.06101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C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