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and Ana María Barrera Rodríguez²</w:t>
      </w:r>
    </w:p>
    <w:p>
      <w:pPr>
        <w:spacing w:after="40"/>
        <w:jc w:val="center"/>
      </w:pPr>
      <w:r>
        <w:rPr>
          <w:b w:val="0"/>
          <w:i/>
          <w:color w:val="595959"/>
          <w:sz w:val="18"/>
        </w:rPr>
        <w:t>Both authors contributed equally to this work.</w:t>
      </w:r>
    </w:p>
    <w:p>
      <w:pPr>
        <w:spacing w:after="20"/>
        <w:jc w:val="center"/>
      </w:pPr>
      <w:r>
        <w:rPr>
          <w:b w:val="0"/>
          <w:i/>
          <w:color w:val="595959"/>
          <w:sz w:val="20"/>
        </w:rPr>
        <w:t>¹ Facultad de Ingeniería, Universidad Libre Seccional Pereira, Pereira, Colombia</w:t>
      </w:r>
    </w:p>
    <w:p>
      <w:pPr>
        <w:spacing w:after="40"/>
        <w:jc w:val="center"/>
      </w:pPr>
      <w:r>
        <w:rPr>
          <w:b w:val="0"/>
          <w:i/>
          <w:color w:val="595959"/>
          <w:sz w:val="20"/>
        </w:rPr>
        <w:t>² Facultad de Ciencias Económicas, Administrativas y Contables, Universidad Libre Seccional Pereira, Pereira, Colombia</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4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60"/>
        <w:jc w:val="center"/>
      </w:pPr>
      <w:r>
        <w:rPr>
          <w:b w:val="0"/>
          <w:i w:val="0"/>
          <w:color w:val="595959"/>
          <w:sz w:val="18"/>
        </w:rPr>
        <w:t>Code and tool: github.com/danielaristo/reference-integrity-checker</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generate citations to works that do not exist. We investigate how common this problem actually is, and show that a credible answer requires separating genuine fabrication from two confounders: legitimate scholarship in journals outside the major indexes, and real works rendered unmatchable by abbreviated or malformed citation strings. We developed a four-source verification cascade (Crossref, OpenAlex, Semantic Scholar, and manual review) and applied it to 5,000 unresolved reference strings drawn from 2024 journal articles. The cascade recovered 25.2% as real works the standard citation matcher had missed and flagged 12.3% as citing the correct work under an incorrect year. Of 517 remaining references with the form of a journal article, exhaustive manual verification of the 101 most recent (post-2020) cases found zero confirmed fabrications: every survivor was either a real work published outside the major indexes or a real work whose citation was too abbreviated to match automatically. We conclude that raw non-match rates substantially overstate the prevalence of fabricated references, and we release the verification tool as a free web application at reftruth.com.</w:t>
      </w:r>
    </w:p>
    <w:p>
      <w:pPr>
        <w:pStyle w:val="Heading2"/>
      </w:pPr>
      <w:r>
        <w:t>Key points</w:t>
      </w:r>
    </w:p>
    <w:p>
      <w:pPr>
        <w:pStyle w:val="ListBullet"/>
        <w:spacing w:after="80"/>
      </w:pPr>
      <w:r>
        <w:rPr>
          <w:sz w:val="22"/>
        </w:rPr>
        <w:t>A four-source verification cascade (Crossref, OpenAlex, Semantic Scholar, manual review) distinguishes fabricated citations from unindexed real works.</w:t>
      </w:r>
    </w:p>
    <w:p>
      <w:pPr>
        <w:pStyle w:val="ListBullet"/>
        <w:spacing w:after="80"/>
      </w:pPr>
      <w:r>
        <w:rPr>
          <w:sz w:val="22"/>
        </w:rPr>
        <w:t>In a 5,000-reference sample, 25.2% of "unresolved" citations were real works the standard matcher had failed to link.</w:t>
      </w:r>
    </w:p>
    <w:p>
      <w:pPr>
        <w:pStyle w:val="ListBullet"/>
        <w:spacing w:after="80"/>
      </w:pPr>
      <w:r>
        <w:rPr>
          <w:sz w:val="22"/>
        </w:rPr>
        <w:t>Manual verification of the 101 highest-risk candidates found zero confirmed fabrications.</w:t>
      </w:r>
    </w:p>
    <w:p>
      <w:pPr>
        <w:pStyle w:val="ListBullet"/>
        <w:spacing w:after="80"/>
      </w:pPr>
      <w:r>
        <w:rPr>
          <w:sz w:val="22"/>
        </w:rPr>
        <w:t>"Not found in a database" is not equivalent to "fabricated": most flagged citations proved to be real but unindexed.</w:t>
      </w:r>
    </w:p>
    <w:p>
      <w:pPr>
        <w:pStyle w:val="ListBullet"/>
        <w:spacing w:after="80"/>
      </w:pPr>
      <w:r>
        <w:rPr>
          <w:sz w:val="22"/>
        </w:rPr>
        <w:t>A free web tool (reftruth.com) lets editors and authors screen bibliographies before publication.</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Hallucination, the generation of fluent but unsupported or false content, is a well-documented general property of LLMs and other neural text generators, not a peripheral bug (</w:t>
      </w:r>
      <w:r>
        <w:rPr>
          <w:b w:val="0"/>
          <w:i w:val="0"/>
          <w:sz w:val="22"/>
        </w:rPr>
        <w:t>Ji et al., 2023</w:t>
      </w:r>
      <w:r>
        <w:rPr>
          <w:b w:val="0"/>
          <w:i w:val="0"/>
          <w:sz w:val="22"/>
        </w:rPr>
        <w:t xml:space="preserve">).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substantial share of the nominally real citations containing errors. </w:t>
      </w:r>
      <w:r>
        <w:rPr>
          <w:b w:val="0"/>
          <w:i w:val="0"/>
          <w:sz w:val="22"/>
        </w:rPr>
        <w:t>Emsley (2023)</w:t>
      </w:r>
      <w:r>
        <w:rPr>
          <w:b w:val="0"/>
          <w:i w:val="0"/>
          <w:sz w:val="22"/>
        </w:rPr>
        <w:t xml:space="preserve"> argued that the term "hallucination" understates the problem, and that fluent, confident invention of nonexistent sources is more accurately described as fabrication and falsification, a framing this study adopts. The phenomenon is not confined to biomedicine: </w:t>
      </w:r>
      <w:r>
        <w:rPr>
          <w:b w:val="0"/>
          <w:i w:val="0"/>
          <w:sz w:val="22"/>
        </w:rPr>
        <w:t>Dahl et al. (2024)</w:t>
      </w:r>
      <w:r>
        <w:rPr>
          <w:b w:val="0"/>
          <w:i w:val="0"/>
          <w:sz w:val="22"/>
        </w:rPr>
        <w:t xml:space="preserve"> documented comparable rates when LLMs were queried on legal facts and case citations, and reported court filings, by lawyers and at least one judge, that relied on non-existent case law. LLM-generated fabrication therefore appears to be a general property of these systems rather than an artefact of any one discipline. LLMs are, in turn, also being examined as tools for detecting citation and quotation errors, with mixed accuracy (</w:t>
      </w:r>
      <w:r>
        <w:rPr>
          <w:b w:val="0"/>
          <w:i w:val="0"/>
          <w:sz w:val="22"/>
        </w:rPr>
        <w:t>Zhang &amp; Abernethy, 2024</w:t>
      </w:r>
      <w:r>
        <w:rPr>
          <w:b w:val="0"/>
          <w:i w:val="0"/>
          <w:sz w:val="22"/>
        </w:rPr>
        <w:t>); the cascade developed in this study takes a complementary, deterministic approach, verifying references against source databases rather than relying on model judgement.</w:t>
      </w:r>
    </w:p>
    <w:p>
      <w:pPr>
        <w:spacing w:after="140"/>
        <w:jc w:val="both"/>
      </w:pPr>
      <w:r>
        <w:rPr>
          <w:b w:val="0"/>
          <w:i w:val="0"/>
          <w:sz w:val="22"/>
        </w:rPr>
        <w:t>Citation integrity, however, was already a fragile part of the scholarly record before generative AI became widely available. Systematic reviews of the biomedical literature have long found quotation error rates of 10–25%, where cited claims misrepresent or fail to support their source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are at record levels and rising: more than 10,000 papers were retracted in 2023 alone, a two-and-a-half-fold increase on the previous year (</w:t>
      </w:r>
      <w:r>
        <w:rPr>
          <w:b w:val="0"/>
          <w:i w:val="0"/>
          <w:sz w:val="22"/>
        </w:rPr>
        <w:t>Van Noorden, 2023</w:t>
      </w:r>
      <w:r>
        <w:rPr>
          <w:b w:val="0"/>
          <w:i w:val="0"/>
          <w:sz w:val="22"/>
        </w:rPr>
        <w:t>), and retracted work continues to be cited as valid long after retraction. Organised fraud has scaled accordingly: so-called paper mills now produce fabricated manuscripts at a volume that strains the forensic tools built to detect them, including tools that identify "tortured phrases", synonym-substituted wording used to evade plagiarism detection (</w:t>
      </w:r>
      <w:r>
        <w:rPr>
          <w:b w:val="0"/>
          <w:i w:val="0"/>
          <w:sz w:val="22"/>
        </w:rPr>
        <w:t>Cabanac et al., 2021</w:t>
      </w:r>
      <w:r>
        <w:rPr>
          <w:b w:val="0"/>
          <w:i w:val="0"/>
          <w:sz w:val="22"/>
        </w:rPr>
        <w:t xml:space="preserve">; </w:t>
      </w:r>
      <w:r>
        <w:rPr>
          <w:b w:val="0"/>
          <w:i w:val="0"/>
          <w:sz w:val="22"/>
        </w:rPr>
        <w:t>Abalkina et al., 2025</w:t>
      </w:r>
      <w:r>
        <w:rPr>
          <w:b w:val="0"/>
          <w:i w:val="0"/>
          <w:sz w:val="22"/>
        </w:rPr>
        <w:t>). Citation counts are similarly manipulated through coordinated "citation cartels" that inflate journal and author metrics without scholarly justification (</w:t>
      </w:r>
      <w:r>
        <w:rPr>
          <w:b w:val="0"/>
          <w:i w:val="0"/>
          <w:sz w:val="22"/>
        </w:rPr>
        <w:t>Kojaku et al., 2021</w:t>
      </w:r>
      <w:r>
        <w:rPr>
          <w:b w:val="0"/>
          <w:i w:val="0"/>
          <w:sz w:val="22"/>
        </w:rPr>
        <w:t>), and the boundary between legitimate and predatory venues remains sufficiently contested that the field has not converged on a working definition of "predatory journal" (</w:t>
      </w:r>
      <w:r>
        <w:rPr>
          <w:b w:val="0"/>
          <w:i w:val="0"/>
          <w:sz w:val="22"/>
        </w:rPr>
        <w:t>Grudniewicz et al., 2019</w:t>
      </w:r>
      <w:r>
        <w:rPr>
          <w:b w:val="0"/>
          <w:i w:val="0"/>
          <w:sz w:val="22"/>
        </w:rPr>
        <w:t>). LLM-generated fabrication is therefore best understood as an accelerant applied to an already-strained system of citation trust, rather than as a wholly novel pathology.</w:t>
      </w:r>
    </w:p>
    <w:p>
      <w:pPr>
        <w:spacing w:after="140"/>
        <w:jc w:val="both"/>
      </w:pPr>
      <w:r>
        <w:rPr>
          <w:b w:val="0"/>
          <w:i w:val="0"/>
          <w:sz w:val="22"/>
        </w:rPr>
        <w:t>A verification study is only as reliable as the infrastructure it verifies against, and that infrastructure has known, uneven coverage. OpenAlex, a fully open index of scholarly works, authors, venues, and institutions, and the Semantic Scholar Academic Graph replaced Microsoft Academic Graph with open, large-scale indexes (</w:t>
      </w:r>
      <w:r>
        <w:rPr>
          <w:b w:val="0"/>
          <w:i w:val="0"/>
          <w:sz w:val="22"/>
        </w:rPr>
        <w:t>Priem et al., 2022</w:t>
      </w:r>
      <w:r>
        <w:rPr>
          <w:b w:val="0"/>
          <w:i w:val="0"/>
          <w:sz w:val="22"/>
        </w:rPr>
        <w:t xml:space="preserve">; </w:t>
      </w:r>
      <w:r>
        <w:rPr>
          <w:b w:val="0"/>
          <w:i w:val="0"/>
          <w:sz w:val="22"/>
        </w:rPr>
        <w:t>Kinney et al., 2023</w:t>
      </w:r>
      <w:r>
        <w:rPr>
          <w:b w:val="0"/>
          <w:i w:val="0"/>
          <w:sz w:val="22"/>
        </w:rPr>
        <w:t>), and the OpenCitations infrastructure has pushed publishers to release citation links as open, structured data (</w:t>
      </w:r>
      <w:r>
        <w:rPr>
          <w:b w:val="0"/>
          <w:i w:val="0"/>
          <w:sz w:val="22"/>
        </w:rPr>
        <w:t>Peroni &amp; Shotton, 2020</w:t>
      </w:r>
      <w:r>
        <w:rPr>
          <w:b w:val="0"/>
          <w:i w:val="0"/>
          <w:sz w:val="22"/>
        </w:rPr>
        <w:t>). Nonetheless, large-scale comparisons of these and other sources report substantial, systematic differences in coverage by field, document type, and publication year (</w:t>
      </w:r>
      <w:r>
        <w:rPr>
          <w:b w:val="0"/>
          <w:i w:val="0"/>
          <w:sz w:val="22"/>
        </w:rPr>
        <w:t>Visser et al., 2021</w:t>
      </w:r>
      <w:r>
        <w:rPr>
          <w:b w:val="0"/>
          <w:i w:val="0"/>
          <w:sz w:val="22"/>
        </w:rPr>
        <w:t>), echoing earlier comparisons of Google Scholar, Web of Science, and Scopus that found citation counts diverging by discipline-dependent, sometimes large margins (</w:t>
      </w:r>
      <w:r>
        <w:rPr>
          <w:b w:val="0"/>
          <w:i w:val="0"/>
          <w:sz w:val="22"/>
        </w:rPr>
        <w:t>Martín-Martín et al., 2018</w:t>
      </w:r>
      <w:r>
        <w:rPr>
          <w:b w:val="0"/>
          <w:i w:val="0"/>
          <w:sz w:val="22"/>
        </w:rPr>
        <w:t>). These gaps are not evenly distributed: journals published outside North America, Europe, and Oceania, sub-Saharan African journals most severely, are indexed at a fraction of the rate of journals from well-covered regions (</w:t>
      </w:r>
      <w:r>
        <w:rPr>
          <w:b w:val="0"/>
          <w:i w:val="0"/>
          <w:sz w:val="22"/>
        </w:rPr>
        <w:t>Asubiaro et al., 2024</w:t>
      </w:r>
      <w:r>
        <w:rPr>
          <w:b w:val="0"/>
          <w:i w:val="0"/>
          <w:sz w:val="22"/>
        </w:rPr>
        <w:t>), and even OpenAlex, despite broader nominal coverage, exhibits measurable reference-linking gaps relative to Web of Science and Scopus (</w:t>
      </w:r>
      <w:r>
        <w:rPr>
          <w:b w:val="0"/>
          <w:i w:val="0"/>
          <w:sz w:val="22"/>
        </w:rPr>
        <w:t>Culbert et al., 2025</w:t>
      </w:r>
      <w:r>
        <w:rPr>
          <w:b w:val="0"/>
          <w:i w:val="0"/>
          <w:sz w:val="22"/>
        </w:rPr>
        <w:t>). A verification pipeline that treats absence from a single database as evidence of non-existence therefore inherits every one of these coverage biases and, because they follow geographic and linguistic lines, risks systematically misclassifying legitimate scholarship from 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et al., 2021</w:t>
      </w:r>
      <w:r>
        <w:rPr>
          <w:b w:val="0"/>
          <w:i w:val="0"/>
          <w:sz w:val="22"/>
        </w:rPr>
        <w:t xml:space="preserve">; </w:t>
      </w:r>
      <w:r>
        <w:rPr>
          <w:b w:val="0"/>
          <w:i w:val="0"/>
          <w:sz w:val="22"/>
        </w:rPr>
        <w:t>Abalkina et al., 2025</w:t>
      </w:r>
      <w:r>
        <w:rPr>
          <w:b w:val="0"/>
          <w:i w:val="0"/>
          <w:sz w:val="22"/>
        </w:rPr>
        <w:t>) detect textual fingerprints of fabricated manuscripts without verifying whether individual cited references resolve to real works. Meanwhile, freely available bibliometric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demonstrates sustained demand for open, reproducible tooling in this space, yet no existing tool combines multi-source reference verification with an explicit taxonomy that distinguishes fabrication from non-indexation and from citation-matching failure. To our knowledge, no study has estimated the prevalence of fabricated references while explicitly correcting for both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it provides a reproducible methodology, a four-source verification cascade with explicit matching rules,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it reports a full accounting of what "unverifiable" references actually are, recoverable, erroneous, non-indexed, and presumably fabricated, alongside two infrastructure findings that emerged from the process: the failure rate of standard citation matching, and a blind spot in retraction flagging caused by duplicate DOI registrations. </w:t>
      </w:r>
      <w:r>
        <w:rPr>
          <w:b/>
          <w:i w:val="0"/>
          <w:sz w:val="22"/>
        </w:rPr>
        <w:t>Third</w:t>
      </w:r>
      <w:r>
        <w:rPr>
          <w:b w:val="0"/>
          <w:i w:val="0"/>
          <w:sz w:val="22"/>
        </w:rPr>
        <w:t>, it releases the verification tool as a free web application (reftruth.com), together with the annotated data and code, so that authors, editors, and reviewers can screen bibliographies before publication.</w:t>
      </w:r>
    </w:p>
    <w:p>
      <w:pPr>
        <w:spacing w:after="140"/>
        <w:jc w:val="both"/>
      </w:pPr>
      <w:r>
        <w:rPr>
          <w:b w:val="0"/>
          <w:i w:val="0"/>
          <w:sz w:val="22"/>
        </w:rPr>
        <w:t>The remainder of this paper is organised as follows. Section 2 describes the methodology. Section 3 presents the results. Section 4 discusses the implications for editorial practice and scholarly data infrastructure. Section 5 concludes. Section 6 states the limitations of the study.</w:t>
      </w:r>
    </w:p>
    <w:p>
      <w:pPr>
        <w:pStyle w:val="Heading1"/>
      </w:pPr>
      <w:r>
        <w:t>2. Methodology</w:t>
      </w:r>
    </w:p>
    <w:p>
      <w:pPr>
        <w:pStyle w:val="Heading2"/>
      </w:pPr>
      <w:r>
        <w:t>2.1 Sampling frame</w:t>
      </w:r>
    </w:p>
    <w:p>
      <w:pPr>
        <w:spacing w:after="140"/>
        <w:jc w:val="both"/>
      </w:pPr>
      <w:r>
        <w:rPr>
          <w:b w:val="0"/>
          <w:i w:val="0"/>
          <w:sz w:val="22"/>
        </w:rPr>
        <w:t>The unit of analysis is the individual reference string. We drew a random sample of 2024 journal articles from Crossref, restricted to those with open (deposited) reference lists. At the time of sampling, Crossref held 6,092,408 journal articles with a 2024 publication date, of which 57.2% carried a deposited reference list. Within those lists, approximately 31% of references are "unresolved", deposited as raw text without a linked DOI. These unresolved strings are the population of interest, because a fabricated reference, having no real referent, cannot carry a resolved DOI. From approximately 1,200 randomly sampled articles, we extracted 5,000 unresolved reference strings, retaining the citing article's DOI as provenance for each. We note a deliberate selection bias: journals that deposit open references are, on average, the more procedurally rigorous ones, so the prevalence figures reported here should be read as a lower bound on the wider literature.</w:t>
      </w:r>
    </w:p>
    <w:p>
      <w:pPr>
        <w:pStyle w:val="Heading2"/>
      </w:pPr>
      <w:r>
        <w:t>2.2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Crossref. If the string contains a DOI, it is resolved directly; otherwise, a bibliographic query is run and the best title match is accepted.</w:t>
      </w:r>
    </w:p>
    <w:p>
      <w:pPr>
        <w:pStyle w:val="ListBullet"/>
        <w:spacing w:after="80"/>
      </w:pPr>
      <w:r>
        <w:rPr>
          <w:sz w:val="22"/>
        </w:rPr>
        <w:t>Stage 2, OpenAlex. Strings unresolved by Crossref are queried against OpenAlex (approximately 250 million works), which aggregates Crossref, PubMed, DataCite, and repository records.</w:t>
      </w:r>
    </w:p>
    <w:p>
      <w:pPr>
        <w:pStyle w:val="ListBullet"/>
        <w:spacing w:after="80"/>
      </w:pPr>
      <w:r>
        <w:rPr>
          <w:sz w:val="22"/>
        </w:rPr>
        <w:t>Stage 3, Semantic Scholar. Article-shaped strings still unresolved are queried against Semantic Scholar (approximately 220 million works), which indexes substantial non-Crossref content, including delisted and regional journals.</w:t>
      </w:r>
    </w:p>
    <w:p>
      <w:pPr>
        <w:pStyle w:val="ListBullet"/>
        <w:spacing w:after="80"/>
      </w:pPr>
      <w:r>
        <w:rPr>
          <w:sz w:val="22"/>
        </w:rPr>
        <w:t>Stage 4, human review. Strings surviving all three databases are verified manually via web search and classified as existing, unverifiable by design, ambiguous, or fabricated.</w:t>
      </w:r>
    </w:p>
    <w:p>
      <w:pPr>
        <w:pStyle w:val="Heading2"/>
      </w:pPr>
      <w:r>
        <w:t>2.3 Matching rules</w:t>
      </w:r>
    </w:p>
    <w:p>
      <w:pPr>
        <w:spacing w:after="140"/>
        <w:jc w:val="both"/>
      </w:pPr>
      <w:r>
        <w:rPr>
          <w:b w:val="0"/>
          <w:i w:val="0"/>
          <w:sz w:val="22"/>
        </w:rPr>
        <w:t>Automated matching accepts a candidate when a sufficient proportion of the significant title tokens (length greater than three characters) appears in the reference string, subject to three safeguards calibrated on a synthetic test set: titles with fewer than three significant tokens are accepted only on a near-perfect match combined with first-author surname presence; when the registered first-author surname is absent from the string, a near-perfect title match is required; and cited years are tolerated within two years of the registered year, to absorb online-first and print date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check is necessary because publishers occasionally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correctly; a DOI-only check would therefore miss it. We consider this a general vulnerability of retraction-aware screening tools and report it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reference published from 2020 onward, the subset in which LLM-era fabrication, if present, would concentrate. Each was searched on the open web and assigned to one of four classes: confirmed to exist (with venue), author-only or untitled (no title to match, unverifiable by design), ambiguous (a plausible journal not traceable via web search), or confirmed fabricated. This verification was conducted by a single annotator; Section 6 discusses the implications of this design choice for the reliability of the resulting counts.</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stated in the data availability statement.</w:t>
      </w:r>
    </w:p>
    <w:p>
      <w:pPr>
        <w:pStyle w:val="Heading2"/>
      </w:pPr>
      <w:r>
        <w:t>2.7 Public screening tool</w:t>
      </w:r>
    </w:p>
    <w:p>
      <w:pPr>
        <w:spacing w:after="140"/>
        <w:jc w:val="both"/>
      </w:pPr>
      <w:r>
        <w:rPr>
          <w:b w:val="0"/>
          <w:i w:val="0"/>
          <w:sz w:val="22"/>
        </w:rPr>
        <w:t xml:space="preserve">Stages 1 and 2 of the cascade (Crossref and OpenAlex) require no proprietary access, and both APIs permit cross-origin requests. We therefore implemented these two stages as a client-side web application that runs entirely in the user's browser: no reference text is transmitted to any server other than the two source databases, and no installation, account, or payment is required. The tool is freely available at </w:t>
      </w:r>
      <w:r>
        <w:rPr>
          <w:b/>
          <w:i w:val="0"/>
          <w:sz w:val="22"/>
        </w:rPr>
        <w:t>reftruth.com</w:t>
      </w:r>
      <w:r>
        <w:rPr>
          <w:b w:val="0"/>
          <w:i w:val="0"/>
          <w:sz w:val="22"/>
        </w:rPr>
        <w:t xml:space="preserve"> and allows an author, editor, or reviewer to paste a bibliography and receive a per-reference verdict within seconds, with a CSV export for manuscript records. Table 3 maps the tool's four verdict states onto the taxonomy of Section 2.5. The full four-source cascade, including Semantic Scholar and the exhaustive human review used for the results reported below, remains available as open-source command-line code in the same repository, since the Semantic Scholar API key cannot safely be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screening tool (reftruth.com). References are pasted one per line; verification runs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outcome of the cascade applied to the 5,000-reference pilot sample. One quarter of the ostensibly "unresolved" references proved to be real works that the standard matcher had failed to link; a further eighth cited a real work under an implausible year; and just under two-thirds were absent from the two largest databases. Of the latter, 517 references (10.3% of the sample) had the form of a journal article and were carried forward for further verification; the remaining unverifiable strings comprised grey literature (books, standards, patents, reports, theses, and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had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often than expected</w:t>
      </w:r>
    </w:p>
    <w:p>
      <w:pPr>
        <w:spacing w:after="140"/>
        <w:jc w:val="both"/>
      </w:pPr>
      <w:r>
        <w:rPr>
          <w:b w:val="0"/>
          <w:i w:val="0"/>
          <w:sz w:val="22"/>
        </w:rPr>
        <w:t>The 25.2% recovery rate is itself an infrastructure finding: a quarter of the references that Crossref's own deposited data had left unlinked are resolvable with a more tolerant matcher. Recovered cases included papers in Nature, Physical Review D, Astroparticle Physics, and American Family Physician, all indexed, all missed because the citation string was abbreviated, title-first without an author, or otherwise malformed.</w:t>
      </w:r>
    </w:p>
    <w:p>
      <w:pPr>
        <w:pStyle w:val="Heading2"/>
      </w:pPr>
      <w:r>
        <w:t>3.3 Careless citation is more common than fabrication</w:t>
      </w:r>
    </w:p>
    <w:p>
      <w:pPr>
        <w:spacing w:after="140"/>
        <w:jc w:val="both"/>
      </w:pPr>
      <w:r>
        <w:rPr>
          <w:b w:val="0"/>
          <w:i w:val="0"/>
          <w:sz w:val="22"/>
        </w:rPr>
        <w:t>A total of 12.3% of unresolved references cited a real work under a year that differed from the registered year by more than two. Careless citation is, in other words, an order of magnitude more common in this sample than any plausible rate of fabrication, a descriptive finding that, to our knowledge, has not previously been quantified at this scale.</w:t>
      </w:r>
    </w:p>
    <w:p>
      <w:pPr>
        <w:pStyle w:val="Heading2"/>
      </w:pPr>
      <w:r>
        <w:t>3.4 A substantial population of real, non-indexed scholarship</w:t>
      </w:r>
    </w:p>
    <w:p>
      <w:pPr>
        <w:spacing w:after="140"/>
        <w:jc w:val="both"/>
      </w:pPr>
      <w:r>
        <w:rPr>
          <w:b w:val="0"/>
          <w:i w:val="0"/>
          <w:sz w:val="22"/>
        </w:rPr>
        <w:t>Of the 517 article-shaped candidates, 96 (18.6%) were located in Semantic Scholar despite being absent from Crossref and OpenAlex. These are real works published outside the major indexes, including articles in established venues as well as regional and delisted journals. A detector lacking this third layer would misclassify every one of them as fabricated.</w:t>
      </w:r>
    </w:p>
    <w:p>
      <w:pPr>
        <w:pStyle w:val="Heading2"/>
      </w:pPr>
      <w:r>
        <w:t>3.5 Prevalence of fabricated references: an upper bound near zero</w:t>
      </w:r>
    </w:p>
    <w:p>
      <w:pPr>
        <w:spacing w:after="140"/>
        <w:jc w:val="both"/>
      </w:pPr>
      <w:r>
        <w:rPr>
          <w:b w:val="0"/>
          <w:i w:val="0"/>
          <w:sz w:val="22"/>
        </w:rPr>
        <w:t>A total of 421 references (8.4% of the sample) survived all three databases. Exhaustive manual verification of the 101 most recent (post-2020) survivors, the highest-risk subset, produced the distribution reported in Table 2: 80.2% were confirmed to exist, 9.9% were author-only citations unverifiable by design, 9.9% were ambiguous (plausible journals not traceable via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Plausible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publication in a non-indexed regional journal (Chinese, Indonesian, Indian, African, Turkish, Korean, and others); </w:t>
      </w:r>
      <w:r>
        <w:rPr>
          <w:b/>
          <w:i w:val="0"/>
          <w:sz w:val="22"/>
        </w:rPr>
        <w:t>matcher false negatives</w:t>
      </w:r>
      <w:r>
        <w:rPr>
          <w:b w:val="0"/>
          <w:i w:val="0"/>
          <w:sz w:val="22"/>
        </w:rPr>
        <w:t>, that is, real works with a DOI in Crossref whose citation string was abbreviated or title-first; publication in a delisted or predatory venue; and author-only citations carrying no title. We therefore find no evidence of fabricated references in this sample. The true prevalence appears close to zero, with the raw survivor count almost entirely explained by non-indexed, genuine scholarship and by matching failure rather than fabrication.</w:t>
      </w:r>
    </w:p>
    <w:p>
      <w:pPr>
        <w:spacing w:after="140"/>
        <w:jc w:val="both"/>
      </w:pPr>
      <w:r>
        <w:rPr>
          <w:b w:val="0"/>
          <w:i w:val="0"/>
          <w:sz w:val="22"/>
        </w:rPr>
        <w:t>This result is properly read as an upper bound rather than a point estimate. With zero fabrications confirmed among 101 independently checked references, the Rule of Three gives a one-sided 95% upper bound of approximately 3% of the survivor population, or roughly 0.25% of the original 5,000-reference sample. A point estimate with a narrower confidence interval would require a substantially larger sample, powered to observe a small number of positive cases; we treat this as the natural target for a follow-up study rather than a claim this dataset can support.</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 low absolute rate of retraction. The methodological finding reported in Section 2.4 stands independently of this result: DOI-only retraction checks can silently pass retracted works that carry duplicate DOI registrations.</w:t>
      </w:r>
    </w:p>
    <w:p>
      <w:pPr>
        <w:pStyle w:val="Heading1"/>
      </w:pPr>
      <w:r>
        <w:t>4. Discussion</w:t>
      </w:r>
    </w:p>
    <w:p>
      <w:pPr>
        <w:spacing w:after="140"/>
        <w:jc w:val="both"/>
      </w:pPr>
      <w:r>
        <w:rPr>
          <w:b w:val="0"/>
          <w:i w:val="0"/>
          <w:sz w:val="22"/>
        </w:rPr>
        <w:t>The central result of this study reframes the fabricated-reference problem. Across disciplines, the prevalence of genuinely fabricated references is not merely low; it is undetectable without a verification pipeline whose principal function is to strip away two confounders. The first is the persistent fragility of citation matching: abbreviated journal names, title-first citations, and author-only styles defeat automated resolution even for papers published in Nature or Physical Review D. The second is the invisibility of a substantial body of legitimate scholarship, regional, non-English, and delisted journals, to the major bibliographic databases.</w:t>
      </w:r>
    </w:p>
    <w:p>
      <w:pPr>
        <w:spacing w:after="140"/>
        <w:jc w:val="both"/>
      </w:pPr>
      <w:r>
        <w:rPr>
          <w:b w:val="0"/>
          <w:i w:val="0"/>
          <w:sz w:val="22"/>
        </w:rPr>
        <w:t>These findings carry a direct implication for the growing market of automated citation-checking tools: any system that equates "not found" with "fabricated" will report false-positive rates that greatly exceed the true signal, and will disproportionately flag scholarship from the Global South and from smaller journals. The principal contribution of this work is therefore less a single prevalence figure than a demonstration of why that figure cannot be read directly from unvalidated detection, together with a taxonomy, recoverable, erroneous, non-indexed, mutilated, fabricated, that a credible screening tool must implement.</w:t>
      </w:r>
    </w:p>
    <w:p>
      <w:pPr>
        <w:spacing w:after="140"/>
        <w:jc w:val="both"/>
      </w:pPr>
      <w:r>
        <w:rPr>
          <w:b w:val="0"/>
          <w:i w:val="0"/>
          <w:sz w:val="22"/>
        </w:rPr>
        <w:t>We also propose a data-quality category that merits its own name: the mutilated citation, a reference to a real work rendered unmatchable by extreme abbreviation. Distinguishing this category from both fabrication and invisibility is necessary for an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artefact that is live, free, and requires no infrastructure beyond a browser. We regard this as a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study argues against at the analytical level,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defaulting silently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now reported to the user explicitly ("retraction status could not be confirmed, verify manually") rather than defaulting to a clean verdict. We present this not as a footnote but as a design principle: a screening tool should fail conspicuously rather than silently. Identifying and correcting this failure mode under real operating conditions, rather than a simulated one, provides evidence that the taxonomy proposed here is operationally enforceable and not merely descriptive.</w:t>
      </w:r>
    </w:p>
    <w:p>
      <w:pPr>
        <w:pStyle w:val="Heading1"/>
      </w:pPr>
      <w:r>
        <w:t>5. Conclusion</w:t>
      </w:r>
    </w:p>
    <w:p>
      <w:pPr>
        <w:spacing w:after="140"/>
        <w:jc w:val="both"/>
      </w:pPr>
      <w:r>
        <w:rPr>
          <w:b w:val="0"/>
          <w:i w:val="0"/>
          <w:sz w:val="22"/>
        </w:rPr>
        <w:t>This study set out to establish how prevalent fabricated references generated by large language models actually are in the published scholarly literature, and to do so in a way that does not conflate genuine fabrication with the two confounders most likely to inflate a naïve estimate: legitimate scholarship absent from the major bibliographic indexes, and real citations rendered unmatchable by abbreviation or malformation. Applied to 5,000 unresolved reference strings drawn from 2024 journal articles, the four-source verification cascade recovered a quarter of these as real works that standard citation matching had simply failed to link, and identified a further eighth as citing real works under an incorrect year. Of the 517 references that retained the form of a genuine journal article after three databases, exhaustive manual verification of the 101 most recent, and therefore highest-risk, survivors confirmed zero fabrications: every one was either a real work published outside the major indexes or a real work whose citation had been mangled beyond automatic recognition.</w:t>
      </w:r>
    </w:p>
    <w:p>
      <w:pPr>
        <w:spacing w:after="140"/>
        <w:jc w:val="both"/>
      </w:pPr>
      <w:r>
        <w:rPr>
          <w:b w:val="0"/>
          <w:i w:val="0"/>
          <w:sz w:val="22"/>
        </w:rPr>
        <w:t>On this evidence, fabricated references are a substantially smaller problem than unvalidated "not found" detection would suggest. What appears, on the surface, to be fabrication in the citation record is overwhelmingly real scholarship rendered invisible by indexing gaps and by citation matching that fails too readily, particularly for regional, non-English, and delisted journals. A credible screening tool, and a credible prevalence estimate, both depend on distinguishing these populations rather than conflating them, and any automated system that fails to make this distinction risks systematically penalising scholarship from already under-represented parts of the world.</w:t>
      </w:r>
    </w:p>
    <w:p>
      <w:pPr>
        <w:spacing w:after="140"/>
        <w:jc w:val="both"/>
      </w:pPr>
      <w:r>
        <w:rPr>
          <w:b w:val="0"/>
          <w:i w:val="0"/>
          <w:sz w:val="22"/>
        </w:rPr>
        <w:t>This study contributes a reproducible verification methodology, an operational taxonomy that separates fabrication from non-indexation and from matching failure, two incidental findings about the fragility of citation-matching and retraction-checking infrastructure, and a free, publicly deployed screening tool that operationalises this taxonomy for authors, editors, and reviewers. A properly powered, larger-scale prevalence estimate, together with an inter-annotator validation of the verification cascade itself, is identified as the natural next step for this line of research.</w:t>
      </w:r>
    </w:p>
    <w:p>
      <w:pPr>
        <w:pStyle w:val="Heading1"/>
      </w:pPr>
      <w:r>
        <w:t>6. Limitations</w:t>
      </w:r>
    </w:p>
    <w:p>
      <w:pPr>
        <w:spacing w:after="140"/>
        <w:jc w:val="both"/>
      </w:pPr>
      <w:r>
        <w:rPr>
          <w:b w:val="0"/>
          <w:i w:val="0"/>
          <w:sz w:val="22"/>
        </w:rPr>
        <w:t>This study has five main limitations. First, an open-reference bias is likely present: journals that deposit open reference lists with Crossref tend to be more procedurally rigorous than the wider population of journals, so the prevalence figures reported here should be read as a lower bound on the literature as a whole rather than as representative of it. Second, the matching procedure carries a language and format bias, performing less well on non-Latin-script citations and on author-only citation styles; this inflates the size of the ambiguous class reported in Section 3.5 and may obscure genuine fabrication within it. Third, the sample size is a binding constraint on the strength of the central claim: with zero fabrications observed among the 101 manually verified survivors, only an upper bound on prevalence can be stated, and a genuine point estimate with a useful confidence interval would require a substantially larger sample, sufficient to observe positive cases. Fourth, the study relies exclusively on deposited reference strings rather than on the full text of citing articles, so citation practices that only become visible in context, such as in-text quotation accuracy, fall outside its scope. Fifth, the manual verification reported in Section 2.5 was conducted by a single annotator; a more rigorous design would add a second, independent annotator across a stratified sample of every verdict class and report inter-annotator agreement, from which the sensitivity and specificity of the automated cascade could be formally derived.</w:t>
      </w:r>
    </w:p>
    <w:p>
      <w:pPr>
        <w:pStyle w:val="Heading1"/>
      </w:pPr>
      <w:r>
        <w:t>Data availability statement</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the first two stages of the cascade is publicly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Author lists are truncated to the first author plus "et al." beyond four names; full author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