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built to screen the literature for nonsensical, algorithmically generated papers that nonetheless passed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replaced Microsoft Academic Graph (</w:t>
      </w:r>
      <w:r>
        <w:rPr>
          <w:b w:val="0"/>
          <w:i w:val="0"/>
          <w:sz w:val="22"/>
        </w:rPr>
        <w:t>Priem et al., 2022</w:t>
      </w:r>
      <w:r>
        <w:rPr>
          <w:b w:val="0"/>
          <w:i w:val="0"/>
          <w:sz w:val="22"/>
        </w:rPr>
        <w:t>), and the Semantic Scholar Academic Graph independently built a comparably open, large-scale index (</w:t>
      </w:r>
      <w:r>
        <w:rPr>
          <w:b w:val="0"/>
          <w:i w:val="0"/>
          <w:sz w:val="22"/>
        </w:rPr>
        <w:t>Ammar et al., 2018</w:t>
      </w:r>
      <w:r>
        <w:rPr>
          <w:b w:val="0"/>
          <w:i w:val="0"/>
          <w:sz w:val="22"/>
        </w:rPr>
        <w:t>); the OpenCitations infrastructure has separately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and, strictly, as a bound on the subset it was measured on. With zero fabrications confirmed among the 101 independently checked post-2020 survivors, the Rule of Three gives a one-sided 95% upper bound of approximately 3% for that subset. Extending this bound to the full 421-survivor population, and hence to approximately 0.25% of the original 5,000-reference sample, additionally assumes that the 320 untested pre-2020 survivors carry no higher a fabrication risk than the post-2020 subset that was actually checked; we consider this a conservative assumption, since these earlier references predate the wide availability of generative language models capable of producing fabricated citations at scale, but we did not verify it directly. A point estimate with a narrower confidence interval covering the full survivor population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What appears, on the surface, to be fabrication in the citation record is overwhelmingly real scholarship rendered invisible by indexing gaps and by citation matching that fails too readily, particularly for regional, non-English, and delisted journals. A credible screening tool, and a credible prevalence estimate, both depend on distinguishing these populations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