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 — the deployment finding discussed below.</w:t>
      </w:r>
    </w:p>
    <w:p>
      <w:pPr>
        <w:spacing w:after="140"/>
        <w:jc w:val="both"/>
      </w:pPr>
      <w:r>
        <w:rPr>
          <w:b w:val="0"/>
          <w:i w:val="0"/>
          <w:sz w:val="22"/>
        </w:rPr>
        <w:t xml:space="preserve">A deployment finding is worth reporting on its own terms. 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 precisely the kind of false negative this study warns against.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and we regard this fix as a direct, practical instantiation of the paper's central argument in Section 4.</w:t>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 as ours briefly did, before the fix described in Section 2.7 — reproduces at implementation level the exact conflation this paper argues against at the analytical level. Making that failure mode visible, and fixing it under real operating conditions (including genuine upstream rate limiting, not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