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6"/>
        </w:rPr>
        <w:t>TALLER DE INTELIGENCIA FINANCIERA</w:t>
      </w:r>
    </w:p>
    <w:p>
      <w:pPr>
        <w:jc w:val="center"/>
      </w:pPr>
      <w:r>
        <w:rPr>
          <w:b/>
          <w:color w:val="2D6CDF"/>
          <w:sz w:val="30"/>
        </w:rPr>
        <w:t>El caso "Alpina Productos Alimenticios S.A. BIC"</w:t>
      </w:r>
    </w:p>
    <w:p>
      <w:pPr>
        <w:jc w:val="center"/>
      </w:pPr>
      <w:r>
        <w:rPr>
          <w:color w:val="697781"/>
          <w:sz w:val="20"/>
        </w:rPr>
        <w:t>Análisis financiero de los últimos tres años disponibles (2023–2025) y propuesta de Dashboard estratégico</w:t>
      </w:r>
    </w:p>
    <w:p>
      <w:pPr>
        <w:spacing w:after="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792"/>
        </w:trPr>
        <w:tc>
          <w:tcPr>
            <w:tcW w:type="dxa" w:w="3360"/>
            <w:shd w:fill="EEF4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FUENTE</w:t>
              <w:br/>
              <w:t>EMIS / ISI Markets</w:t>
            </w:r>
          </w:p>
        </w:tc>
        <w:tc>
          <w:tcPr>
            <w:tcW w:type="dxa" w:w="3360"/>
            <w:shd w:fill="EEF4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PERÍODO</w:t>
              <w:br/>
              <w:t>2023–2025</w:t>
            </w:r>
          </w:p>
        </w:tc>
        <w:tc>
          <w:tcPr>
            <w:tcW w:type="dxa" w:w="3360"/>
            <w:shd w:fill="EEF4FB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UNIDAD</w:t>
              <w:br/>
              <w:t>Millones de COP</w:t>
            </w:r>
          </w:p>
        </w:tc>
      </w:tr>
    </w:tbl>
    <w:p>
      <w:pPr>
        <w:spacing w:after="0" w:before="0"/>
      </w:pPr>
    </w:p>
    <w:p>
      <w:pPr>
        <w:spacing w:before="60" w:after="120"/>
      </w:pPr>
      <w:r>
        <w:rPr>
          <w:b/>
        </w:rPr>
        <w:t xml:space="preserve">Propósito del entregable. </w:t>
      </w:r>
      <w:r>
        <w:t>Consolidar los datos financieros de EMIS, generar insights mediante IA y proponer un Dashboard de Power BI orientado a eficiencia operativa y solvencia, incluyendo cinco KPIs críticos y el análisis de factores externos.</w:t>
      </w:r>
    </w:p>
    <w:p>
      <w:pPr>
        <w:spacing w:before="80" w:after="80"/>
        <w:jc w:val="left"/>
      </w:pPr>
      <w:r>
        <w:rPr>
          <w:b/>
          <w:color w:val="2D6CDF"/>
          <w:sz w:val="20"/>
        </w:rPr>
        <w:t>ALCANCE DEL TRABAJO</w:t>
      </w:r>
    </w:p>
    <w:p>
      <w:pPr>
        <w:spacing w:after="0"/>
      </w:pPr>
      <w:r>
        <w:rPr>
          <w:color w:val="27343D"/>
          <w:sz w:val="18"/>
        </w:rPr>
        <w:t>• Información financiera 2023–2025  • Variaciones e insights  • EBITDA y margen neto  • 5 KPIs  • Solvencia  • Dashboard Power BI  • Factores externos de Colombia</w:t>
      </w:r>
    </w:p>
    <w:p>
      <w:r>
        <w:br w:type="page"/>
      </w:r>
    </w:p>
    <w:p>
      <w:pPr>
        <w:pStyle w:val="Heading1"/>
      </w:pPr>
      <w:r>
        <w:t>1. Contexto de negocio</w:t>
      </w:r>
    </w:p>
    <w:p>
      <w:r>
        <w:t>Alpina Productos Alimenticios S.A.S. BIC es una compañía del sector alimentario y lácteo con sede en Sopó, Cundinamarca. El informe EMIS identifica como principales actividades la elaboración de productos lácteos, la elaboración de refrescos y la venta al por mayor. El informe registra 3.781 empleados para 2026 y señala operaciones y presencia comercial más allá de Colombia.</w:t>
      </w:r>
    </w:p>
    <w:p>
      <w:r>
        <w:t>Para este taller se utiliza el período 2023–2025 por corresponder a los últimos tres años disponibles en el informe EMIS suministrado. Las cifras originales están expresadas en COP miles; en este documento se convierten a millones de COP para facilitar la lectura.</w:t>
      </w:r>
    </w:p>
    <w:p>
      <w:pPr>
        <w:pStyle w:val="Heading1"/>
      </w:pPr>
      <w:r>
        <w:t>2. Tabla resumen de datos financieros extraídos de EMIS</w:t>
      </w:r>
    </w:p>
    <w:p>
      <w:r>
        <w:t>El taller requiere seleccionar siete cuentas: Ingresos Operacionales, Costo de Ventas, Gastos Operacionales, EBITDA, Utilidad Neta, Activos Totales y Pasivos Totales.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Cuenta (millones COP)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2023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2024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2025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Ingresos Operacionales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$2.180.243,2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$2.106.374,3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$2.295.087,8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Costo de Ventas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-$1.307.458,3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-$1.219.180,0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-$1.309.480,3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Gastos Operacionales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-$8.267,6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-$678.886,2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-$719.134,2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EBITDA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$236.357,6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$293.552,2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$344.554,4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Utilidad Neta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$93.628,2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$100.521,2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$114.367,4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Activos Totales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$1.536.664,4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$1.431.184,2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$1.344.661,2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Pasivos Totales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$1.298.110,7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$1.255.424,8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$1.180.945,4</w:t>
            </w:r>
          </w:p>
        </w:tc>
      </w:tr>
    </w:tbl>
    <w:p>
      <w:pPr>
        <w:spacing w:after="0" w:before="0"/>
      </w:pPr>
    </w:p>
    <w:p>
      <w:r>
        <w:rPr>
          <w:b/>
        </w:rPr>
        <w:t xml:space="preserve">Nota sobre Gastos Operacionales. </w:t>
      </w:r>
      <w:r>
        <w:t>Se calculan como la suma de los componentes operativos visibles en EMIS: gastos de venta y distribución + gastos administrativos + otros resultados operativos netos. Para 2023, EMIS muestra 0,00 en gastos de venta y distribución y 0,00 en gastos administrativos, y reporta -8.267,583 millones en otros resultados operativos netos; se conserva la información de la fuente sin imputar estimaciones.</w:t>
      </w:r>
    </w:p>
    <w:p>
      <w:r>
        <w:rPr>
          <w:b/>
        </w:rPr>
        <w:t xml:space="preserve">Fuente. </w:t>
      </w:r>
      <w:r>
        <w:t>Informe de Negocios EMIS, Estados financieros, Anual–Individual; fuente reportada por EMIS: Superintendencia de Sociedades / Superfinanciera y Cámara de Comercio de Bogotá para 2023.</w:t>
      </w:r>
    </w:p>
    <w:p>
      <w:pPr>
        <w:pStyle w:val="Heading1"/>
      </w:pPr>
      <w:r>
        <w:t>3. Análisis de variaciones e insights</w:t>
      </w:r>
    </w:p>
    <w:p>
      <w:pPr>
        <w:pStyle w:val="ListBullet"/>
        <w:spacing w:after="60"/>
      </w:pPr>
      <w:r>
        <w:t>Entre 2023 y 2024, los ingresos operacionales disminuyen aproximadamente -3,39%; sin embargo, el EBITDA aumenta 24,20%, pasando de $236.357,6 a $293.552,2.</w:t>
      </w:r>
    </w:p>
    <w:p>
      <w:pPr>
        <w:pStyle w:val="ListBullet"/>
        <w:spacing w:after="60"/>
      </w:pPr>
      <w:r>
        <w:t>Entre 2024 y 2025, los ingresos operacionales crecen 8,96%, mientras que el EBITDA aumenta 17,37%. La utilidad neta crece 13,77%.</w:t>
      </w:r>
    </w:p>
    <w:p>
      <w:pPr>
        <w:pStyle w:val="ListBullet"/>
        <w:spacing w:after="60"/>
      </w:pPr>
      <w:r>
        <w:t>El margen EBITDA evoluciona de 13,49% en 2023 a 13,99% en 2024 y 15,10% en 2025.</w:t>
      </w:r>
    </w:p>
    <w:p>
      <w:pPr>
        <w:pStyle w:val="ListBullet"/>
        <w:spacing w:after="60"/>
      </w:pPr>
      <w:r>
        <w:t>El margen neto pasa de 4,29% a 4,79% y luego a 5,01%, mostrando una recuperación progresiva del resultado neto sobre ingresos.</w:t>
      </w:r>
    </w:p>
    <w:p>
      <w:pPr>
        <w:pStyle w:val="ListBullet"/>
        <w:spacing w:after="60"/>
      </w:pPr>
      <w:r>
        <w:t>Los activos totales disminuyen de $1.536.664,4 millones en 2023 a $1.344.661,2 millones en 2025, mientras los pasivos totales bajan de $1.298.110,7 millones a $1.180.945,4 millones.</w:t>
      </w:r>
    </w:p>
    <w:p>
      <w:pPr>
        <w:pStyle w:val="ListBullet"/>
        <w:spacing w:after="60"/>
      </w:pPr>
      <w:r>
        <w:t>La deuda neta reportada cae de $779.260,7 millones en 2024 a $606.830,3 millones en 2025, acompañada por una mejora del indicador Deuda Neta/EBITDA reportada en el material de trabajo.</w:t>
      </w:r>
    </w:p>
    <w:p>
      <w:pPr>
        <w:spacing w:after="0" w:before="0"/>
      </w:pPr>
    </w:p>
    <w:p>
      <w:r>
        <w:rPr>
          <w:b/>
        </w:rPr>
        <w:t xml:space="preserve">Insight integrado. </w:t>
      </w:r>
      <w:r>
        <w:t>La información muestra una mejora de la rentabilidad operativa hacia 2025, pero también una reducción de los activos. Por eso, el Dashboard debe presentar simultáneamente desempeño operativo y solvencia, evitando interpretar la evolución de un único indicador de forma aislada.</w:t>
      </w:r>
    </w:p>
    <w:p>
      <w:pPr>
        <w:pStyle w:val="Heading1"/>
      </w:pPr>
      <w:r>
        <w:t>4. Tendencia de EBITDA y margen neto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2023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2024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EBITDA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$236.357,6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$293.552,2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$344.554,4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Margen EBITDA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13,49%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13,99%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15,10%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Margen Neto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4,29%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4,79%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8"/>
              </w:rPr>
              <w:t>5,01%</w:t>
            </w:r>
          </w:p>
        </w:tc>
      </w:tr>
    </w:tbl>
    <w:p>
      <w:r>
        <w:t>Lectura: el EBITDA presenta crecimiento consecutivo en 2024 y 2025, y el margen EBITDA alcanza 15,10% en 2025. El margen neto también aumenta durante los tres años analizados.</w:t>
      </w:r>
    </w:p>
    <w:p>
      <w:pPr>
        <w:pStyle w:val="Heading1"/>
      </w:pPr>
      <w:r>
        <w:t>5. Propuesta de Dashboard estratégico</w:t>
      </w:r>
    </w:p>
    <w:p>
      <w:r>
        <w:t>La propuesta se organiza en cinco páginas, siguiendo el enfoque solicitado: visualización de eficiencia operativa y solvencia, complementada con benchmarking y contexto macroeconómico.</w:t>
      </w:r>
    </w:p>
    <w:p>
      <w:r>
        <w:rPr>
          <w:b/>
        </w:rPr>
        <w:t>Página 1 — Resumen Ejecutivo</w:t>
      </w:r>
      <w:r>
        <w:t xml:space="preserve"> — Tarjetas de Ingresos Operacionales, EBITDA, Margen EBITDA, Margen Neto y Deuda Neta/EBITDA. Incluye variaciones interanuales y una lectura rápida de desempeño.</w:t>
      </w:r>
    </w:p>
    <w:p>
      <w:r>
        <w:rPr>
          <w:b/>
        </w:rPr>
        <w:t>Página 2 — Eficiencia Operativa</w:t>
      </w:r>
      <w:r>
        <w:t xml:space="preserve"> — Waterfall desde Ingresos Operacionales hacia EBITDA, junto con líneas de Margen EBITDA y Margen Neto para 2023–2025.</w:t>
      </w:r>
    </w:p>
    <w:p>
      <w:r>
        <w:rPr>
          <w:b/>
        </w:rPr>
        <w:t>Página 3 — Benchmarking Sectorial</w:t>
      </w:r>
      <w:r>
        <w:t xml:space="preserve"> — Barras de Alpina frente a la mediana del sector y tabla de competidores directos reportados por EMIS.</w:t>
      </w:r>
    </w:p>
    <w:p>
      <w:r>
        <w:rPr>
          <w:b/>
        </w:rPr>
        <w:t>Página 4 — Solvencia y Riesgo</w:t>
      </w:r>
      <w:r>
        <w:t xml:space="preserve"> — Gauge de Deuda Neta/EBITDA, línea de Altman Z-Score, estructura de deuda de corto y largo plazo y tarjetas de Activos y Pasivos.</w:t>
      </w:r>
    </w:p>
    <w:p>
      <w:r>
        <w:rPr>
          <w:b/>
        </w:rPr>
        <w:t>Página 5 — Contexto Macroeconómico</w:t>
      </w:r>
      <w:r>
        <w:t xml:space="preserve"> — Panel para relacionar inflación, TRM, tasa de interés y consumo de hogares con la evolución del EBITDA, usando series oficiales para las variables macro.</w:t>
      </w:r>
    </w:p>
    <w:p>
      <w:pPr>
        <w:pStyle w:val="Heading1"/>
      </w:pPr>
      <w:r>
        <w:t>6. Cinco KPIs críticos y gráfico ideal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KPI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Fórmula / qué mide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Gráfico ideal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Margen EBITDA (%)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EBITDA / Ingresos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Tarjeta KPI + línea 2023–2025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Crecimiento de Ingresos (YoY %)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(Ingresos t / Ingresos t−1) − 1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KPI + columnas YoY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Margen Neto vs. Sector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Margen Alpina frente a mediana sector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Barras comparativas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Deuda Neta / EBITDA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Deuda Neta / EBITDA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Gauge + tendencia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Altman Z-Score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Modelo integral de riesgo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Línea + banda de referencia</w:t>
            </w:r>
          </w:p>
        </w:tc>
      </w:tr>
    </w:tbl>
    <w:p>
      <w:pPr>
        <w:pStyle w:val="Heading1"/>
      </w:pPr>
      <w:r>
        <w:t>7. Benchmarking sectorial (2025)</w:t>
      </w:r>
    </w:p>
    <w:p>
      <w:r>
        <w:t>El informe de trabajo reporta para 2025 un margen operacional de Alpina de 11,12% frente a 3,75% de la mediana del sector lácteo, y un margen neto de 5,01% frente a 2,00%.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Referencia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Ingresos 2025 (M COP)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Margen neto</w:t>
            </w:r>
          </w:p>
        </w:tc>
        <w:tc>
          <w:tcPr>
            <w:tcW w:type="dxa" w:w="2520"/>
            <w:vAlign w:val="center"/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Utilidad neta (M COP)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Alpina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2.295.088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5,01%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114.367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Mediana sector lácteo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2,00%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Cooperativa Colanta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4.681.728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0,13%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6.210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Productos Naturales de la Sabana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1.468.458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2,13%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31.032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Meals Mercadeo de Alimentos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602.601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9,70%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57.885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Productos Lácteos Aura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520.599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0,11%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 w:val="0"/>
                <w:sz w:val="17"/>
              </w:rPr>
              <w:t>552</w:t>
            </w:r>
          </w:p>
        </w:tc>
      </w:tr>
    </w:tbl>
    <w:p>
      <w:pPr>
        <w:pStyle w:val="Heading1"/>
      </w:pPr>
      <w:r>
        <w:t>8. Factores externos de la economía colombiana que pudieron afectar el EBITDA</w:t>
      </w:r>
    </w:p>
    <w:p>
      <w:pPr>
        <w:pStyle w:val="ListBullet"/>
        <w:spacing w:after="60"/>
      </w:pPr>
      <w:r>
        <w:t>Inflación: puede elevar el costo de materias primas e insumos y presionar los márgenes operativos.</w:t>
      </w:r>
    </w:p>
    <w:p>
      <w:pPr>
        <w:pStyle w:val="ListBullet"/>
        <w:spacing w:after="60"/>
      </w:pPr>
      <w:r>
        <w:t>Tasas de interés: afectan el costo financiero y las condiciones de crédito y consumo.</w:t>
      </w:r>
    </w:p>
    <w:p>
      <w:pPr>
        <w:pStyle w:val="ListBullet"/>
        <w:spacing w:after="60"/>
      </w:pPr>
      <w:r>
        <w:t>Tipo de cambio (TRM): EMIS reporta para 2024 importaciones por USD 19,91 millones frente a exportaciones por USD 8,79 millones. Una depreciación del peso puede elevar costos asociados a importaciones.</w:t>
      </w:r>
    </w:p>
    <w:p>
      <w:pPr>
        <w:pStyle w:val="ListBullet"/>
        <w:spacing w:after="60"/>
      </w:pPr>
      <w:r>
        <w:t>Consumo de hogares: una recuperación del ingreso disponible puede favorecer la demanda de productos lácteos y alimentarios.</w:t>
      </w:r>
    </w:p>
    <w:p>
      <w:r>
        <w:t>Con base en el material analizado, 2025 coincide con una mejora de ingresos y EBITDA y con una mayor rentabilidad. La relación entre cada variable macro y el EBITDA debe presentarse como contexto explicativo y no como una atribución causal exclusiva sin un análisis econométrico adicional.</w:t>
      </w:r>
    </w:p>
    <w:p>
      <w:pPr>
        <w:pStyle w:val="Heading1"/>
      </w:pPr>
      <w:r>
        <w:t>9. Verificación de cumplimiento del taller</w:t>
      </w:r>
    </w:p>
    <w:p>
      <w:pPr>
        <w:pStyle w:val="ListBullet"/>
        <w:spacing w:after="60"/>
      </w:pPr>
      <w:r>
        <w:t>✓ Tabla financiera con las siete cuentas requeridas y los últimos tres años disponibles.</w:t>
      </w:r>
    </w:p>
    <w:p>
      <w:pPr>
        <w:pStyle w:val="ListBullet"/>
        <w:spacing w:after="60"/>
      </w:pPr>
      <w:r>
        <w:t>✓ Análisis de variaciones e insights sobre el comportamiento financiero.</w:t>
      </w:r>
    </w:p>
    <w:p>
      <w:pPr>
        <w:pStyle w:val="ListBullet"/>
        <w:spacing w:after="60"/>
      </w:pPr>
      <w:r>
        <w:t>✓ Tendencia de EBITDA y margen neto.</w:t>
      </w:r>
    </w:p>
    <w:p>
      <w:pPr>
        <w:pStyle w:val="ListBullet"/>
        <w:spacing w:after="60"/>
      </w:pPr>
      <w:r>
        <w:t>✓ Propuesta de Dashboard orientada a eficiencia operativa y solvencia.</w:t>
      </w:r>
    </w:p>
    <w:p>
      <w:pPr>
        <w:pStyle w:val="ListBullet"/>
        <w:spacing w:after="60"/>
      </w:pPr>
      <w:r>
        <w:t>✓ Cinco KPIs críticos y tipo de gráfico ideal para cada uno.</w:t>
      </w:r>
    </w:p>
    <w:p>
      <w:pPr>
        <w:pStyle w:val="ListBullet"/>
        <w:spacing w:after="60"/>
      </w:pPr>
      <w:r>
        <w:t>✓ Respuesta a la pregunta sobre factores externos de la economía colombiana.</w:t>
      </w:r>
    </w:p>
    <w:p>
      <w:pPr>
        <w:pStyle w:val="ListBullet"/>
        <w:spacing w:after="60"/>
      </w:pPr>
      <w:r>
        <w:t>✓ Fuentes identificadas y diferenciación entre datos EMIS y contexto macroeconómico.</w:t>
      </w:r>
    </w:p>
    <w:p>
      <w:pPr>
        <w:pStyle w:val="Heading1"/>
      </w:pPr>
      <w:r>
        <w:t>10. Fuentes</w:t>
      </w:r>
    </w:p>
    <w:p>
      <w:pPr>
        <w:pStyle w:val="ListBullet"/>
        <w:spacing w:after="60"/>
      </w:pPr>
      <w:r>
        <w:t>EMIS (ISI Markets). Informe de Negocios: Alpina Productos Alimenticios S.A.S. - BIC. Septiembre 17, 2026.</w:t>
      </w:r>
    </w:p>
    <w:p>
      <w:pPr>
        <w:pStyle w:val="ListBullet"/>
        <w:spacing w:after="60"/>
      </w:pPr>
      <w:r>
        <w:t>Superintendencia de Sociedades — Estados Financieros IFRS, según fuente reportada por EMIS.</w:t>
      </w:r>
    </w:p>
    <w:p>
      <w:pPr>
        <w:pStyle w:val="ListBullet"/>
        <w:spacing w:after="60"/>
      </w:pPr>
      <w:r>
        <w:t>Cámara de Comercio de Bogotá — fuente reportada por EMIS para 2023.</w:t>
      </w:r>
    </w:p>
    <w:p>
      <w:pPr>
        <w:pStyle w:val="ListBullet"/>
        <w:spacing w:after="60"/>
      </w:pPr>
      <w:r>
        <w:t>Banco de la República de Colombia — referencias macroeconómicas incluidas en el material de trabajo.</w:t>
      </w:r>
    </w:p>
    <w:p>
      <w:pPr>
        <w:pStyle w:val="ListBullet"/>
        <w:spacing w:after="60"/>
      </w:pPr>
      <w:r>
        <w:t>Documento del Taller de Inteligencia Financiera: El caso “Alpina Productos Alimenticios S.A. BIC”, suministrado en la conversación.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4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D6CD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