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E63F" w14:textId="77777777" w:rsidR="009B7B54" w:rsidRDefault="009B7B54" w:rsidP="009B7B54">
      <w:pPr>
        <w:spacing w:line="360" w:lineRule="auto"/>
        <w:ind w:firstLine="709"/>
        <w:jc w:val="center"/>
      </w:pPr>
      <w:r>
        <w:rPr>
          <w:b/>
          <w:bCs/>
        </w:rPr>
        <w:t>Experiment 3. Direct verbal manipulations</w:t>
      </w:r>
    </w:p>
    <w:p w14:paraId="13E704DD" w14:textId="77777777" w:rsidR="009B7B54" w:rsidRDefault="009B7B54" w:rsidP="009B7B54">
      <w:pPr>
        <w:spacing w:line="360" w:lineRule="auto"/>
        <w:ind w:firstLine="709"/>
      </w:pPr>
    </w:p>
    <w:p w14:paraId="20B23D12" w14:textId="77777777" w:rsidR="009B7B54" w:rsidRDefault="009B7B54" w:rsidP="009B7B54">
      <w:pPr>
        <w:spacing w:line="360" w:lineRule="auto"/>
        <w:ind w:firstLine="709"/>
      </w:pPr>
      <w:r>
        <w:rPr>
          <w:b/>
          <w:bCs/>
        </w:rPr>
        <w:t>Verbal Stimuli Analysis of Framing Effect</w:t>
      </w:r>
    </w:p>
    <w:p w14:paraId="70DDAA83" w14:textId="77777777" w:rsidR="009B7B54" w:rsidRDefault="009B7B54" w:rsidP="009B7B54">
      <w:pPr>
        <w:spacing w:line="360" w:lineRule="auto"/>
        <w:ind w:firstLine="709"/>
      </w:pPr>
      <w:r>
        <w:t xml:space="preserve">In decision-making, framing effects refer to variations in participants' choices when the same problem is presented in alternate ways. Tversky and Kahneman (1981) define framing as a shift in problem conception when different representations of an identical decision problem are provided. They argue that a verbal description alters individuals' adoption of a frame, i.e., their conceptualization of it. Typically, frames simplify problem evaluation and promote consistency in choice selection. Nevertheless, their findings indicate that modifying the description can introduce instability, such that the alignment between participants' choices and optimal options is contingent on the specific verbal framing. </w:t>
      </w:r>
    </w:p>
    <w:p w14:paraId="02E34EAB" w14:textId="474BFF5A" w:rsidR="009B7B54" w:rsidRDefault="009B7B54" w:rsidP="009B7B54">
      <w:pPr>
        <w:spacing w:line="360" w:lineRule="auto"/>
        <w:ind w:firstLine="709"/>
      </w:pPr>
      <w:r>
        <w:t xml:space="preserve">The framing effect is so strong that, among 152 adult participants, simply changing the way the description was framed led 50% to change their choice. Participants considered the following problem: "Imagine the U.S. is preparing for the outbreak of an unusual Asian disease, which is expected to kill </w:t>
      </w:r>
      <w:r>
        <w:rPr>
          <w:u w:val="single"/>
        </w:rPr>
        <w:t>600</w:t>
      </w:r>
      <w:r>
        <w:t xml:space="preserve"> people. Two programs to combat the disease have been proposed. Assume that the exact scientific estimate of the consequences of the programs is as follows: Which program would you favor?" </w:t>
      </w:r>
      <w:r>
        <w:rPr>
          <w:b/>
          <w:bCs/>
        </w:rPr>
        <w:t>Framing 1:</w:t>
      </w:r>
      <w:r>
        <w:t xml:space="preserve"> If Program A is adopted, </w:t>
      </w:r>
      <w:r>
        <w:rPr>
          <w:u w:val="single"/>
        </w:rPr>
        <w:t>200</w:t>
      </w:r>
      <w:r>
        <w:t xml:space="preserve"> people will be </w:t>
      </w:r>
      <w:r>
        <w:rPr>
          <w:b/>
          <w:bCs/>
        </w:rPr>
        <w:t>saved</w:t>
      </w:r>
      <w:r>
        <w:t xml:space="preserve">. [72 percent]; If Program B is adopted, there is a </w:t>
      </w:r>
      <w:r>
        <w:rPr>
          <w:u w:val="single"/>
        </w:rPr>
        <w:t>1/3 probability</w:t>
      </w:r>
      <w:r>
        <w:t xml:space="preserve"> that </w:t>
      </w:r>
      <w:r>
        <w:rPr>
          <w:u w:val="single"/>
        </w:rPr>
        <w:t>600</w:t>
      </w:r>
      <w:r>
        <w:t xml:space="preserve"> people will be </w:t>
      </w:r>
      <w:r>
        <w:rPr>
          <w:b/>
          <w:bCs/>
        </w:rPr>
        <w:t>saved</w:t>
      </w:r>
      <w:r>
        <w:t xml:space="preserve">, and a </w:t>
      </w:r>
      <w:r>
        <w:rPr>
          <w:u w:val="single"/>
        </w:rPr>
        <w:t>2/3 probabili</w:t>
      </w:r>
      <w:r>
        <w:t xml:space="preserve">ty that no people will be </w:t>
      </w:r>
      <w:r>
        <w:rPr>
          <w:b/>
          <w:bCs/>
        </w:rPr>
        <w:t>saved</w:t>
      </w:r>
      <w:r>
        <w:t xml:space="preserve">. [28 percent]. </w:t>
      </w:r>
      <w:r>
        <w:rPr>
          <w:b/>
          <w:bCs/>
        </w:rPr>
        <w:t>Framing 2:</w:t>
      </w:r>
      <w:r>
        <w:t xml:space="preserve"> If Program C is adopted, </w:t>
      </w:r>
      <w:r>
        <w:rPr>
          <w:u w:val="single"/>
        </w:rPr>
        <w:t>400</w:t>
      </w:r>
      <w:r>
        <w:t xml:space="preserve"> people will </w:t>
      </w:r>
      <w:r>
        <w:rPr>
          <w:b/>
          <w:bCs/>
        </w:rPr>
        <w:t>die</w:t>
      </w:r>
      <w:r>
        <w:t xml:space="preserve">. [22 percent]; If Program D is adopted, there is a </w:t>
      </w:r>
      <w:r>
        <w:rPr>
          <w:u w:val="single"/>
        </w:rPr>
        <w:t>1/3 probability</w:t>
      </w:r>
      <w:r>
        <w:t xml:space="preserve"> that nobody will </w:t>
      </w:r>
      <w:r>
        <w:rPr>
          <w:b/>
          <w:bCs/>
        </w:rPr>
        <w:t>die</w:t>
      </w:r>
      <w:r>
        <w:t xml:space="preserve">, and a </w:t>
      </w:r>
      <w:r>
        <w:rPr>
          <w:u w:val="single"/>
        </w:rPr>
        <w:t xml:space="preserve">2/3 probability </w:t>
      </w:r>
      <w:r>
        <w:t xml:space="preserve">that </w:t>
      </w:r>
      <w:r>
        <w:rPr>
          <w:u w:val="single"/>
        </w:rPr>
        <w:t>600</w:t>
      </w:r>
      <w:r>
        <w:t xml:space="preserve"> people will </w:t>
      </w:r>
      <w:r>
        <w:rPr>
          <w:b/>
          <w:bCs/>
        </w:rPr>
        <w:t>die</w:t>
      </w:r>
      <w:r>
        <w:t>. [78 percent]"</w:t>
      </w:r>
      <w:r w:rsidR="00642057">
        <w:t xml:space="preserve"> </w:t>
      </w:r>
      <w:r>
        <w:fldChar w:fldCharType="begin"/>
      </w:r>
      <w:r w:rsidR="00642057">
        <w:instrText xml:space="preserve"> ADDIN ZOTERO_ITEM CSL_CITATION {"citationID":"MNhwznaF","properties":{"formattedCitation":"(Tversky &amp; Kahneman, 1981)","plainCitation":"(Tversky &amp; Kahneman, 1981)","noteIndex":0},"citationItems":[{"id":8767,"uris":["http://zotero.org/users/11770822/items/53KZLKFU"],"itemData":{"id":8767,"type":"article-journal","abstract":"The psychological principles that govern the perception of decision problems and the evaluation of probabilities and outcomes produce predictable shifts of preference when the same problem is framed in different ways. Reversals of preference are demonstrated in choices regarding monetary outcomes, both hypothetical and real, and in questions pertaining to the loss of human lives. The effects of frames on preferences are compared to the effects of perspectives on perceptual appearance. The dependence of preferences on the formulation of decision problems is a significant concern for the theory of rational choice.","container-title":"Science","DOI":"10.1126/science.7455683","ISSN":"0036-8075, 1095-9203","issue":"4481","journalAbbreviation":"Science","language":"en","page":"453-458","source":"DOI.org (Crossref)","title":"The Framing of Decisions and the Psychology of Choice","volume":"211","author":[{"family":"Tversky","given":"Amos"},{"family":"Kahneman","given":"Daniel"}],"issued":{"date-parts":[["1981",1,30]]}}}],"schema":"https://github.com/citation-style-language/schema/raw/master/csl-citation.json"} </w:instrText>
      </w:r>
      <w:r>
        <w:fldChar w:fldCharType="separate"/>
      </w:r>
      <w:r w:rsidR="00642057">
        <w:rPr>
          <w:noProof/>
        </w:rPr>
        <w:t>(Tversky &amp; Kahneman, 1981)</w:t>
      </w:r>
      <w:r>
        <w:fldChar w:fldCharType="end"/>
      </w:r>
      <w:r>
        <w:t>. Notice that, in framing 1, with 600 expected deaths, Program A saves 200 people for sure. In framing 2, Program C allows 400 to die for sure. Both have the same outcome, assuming certainty is absolute. Program B offers a 1/3 chance of saving all 600 people and a 2/3 chance of saving no one. Program D is the same: a 1/3 chance that nobody dies and a 2/3 chance that all 600 die. Both sets confirm a 2/3 chance of deaths or no one being saved. Thus, Programs A and C share the same risk and outcome, as do Programs B and D. Still, 72% chose Program A in the first framing, while only 22% chose Program C in the second. The options A and C offered the same risk and loss. Meanwhile, 28% chose option B in the first framing, and 78% chose D in the second (Tversky &amp; Kahneman, 1981).</w:t>
      </w:r>
    </w:p>
    <w:p w14:paraId="654D98F6" w14:textId="707DF48C" w:rsidR="009B7B54" w:rsidRDefault="009B7B54" w:rsidP="009B7B54">
      <w:pPr>
        <w:spacing w:line="360" w:lineRule="auto"/>
        <w:ind w:firstLine="709"/>
      </w:pPr>
      <w:r>
        <w:lastRenderedPageBreak/>
        <w:t xml:space="preserve">In delay discounting, framing by time, amount, and additional information changes choice tendencies. An example is the Data Calendar Effect. Suppose today is May 15. You must choose between: winning $50 now or "Receiving $100 on April 15"; winning $50 now or "Receiving $100 in one month"; and winning $50 now or "Receiving $100 in 30 days." Even when these descriptions are equal, time framed in days results in a greater discount than when framed in months. Also, the calendar units frame produces a greater discount than a specific date frame </w:t>
      </w:r>
      <w:r w:rsidR="00642057">
        <w:fldChar w:fldCharType="begin"/>
      </w:r>
      <w:r w:rsidR="00934277">
        <w:instrText xml:space="preserve"> ADDIN ZOTERO_ITEM CSL_CITATION {"citationID":"GdBJj5y8","properties":{"formattedCitation":"(DeHart &amp; Odum, 2015; Klapproth, 2012; LeBoeuf &amp; Shafir, 2006)","plainCitation":"(DeHart &amp; Odum, 2015; Klapproth, 2012; LeBoeuf &amp; Shafir, 2006)","noteIndex":0},"citationItems":[{"id":7166,"uris":["http://zotero.org/users/11770822/items/Z9NC8JSE"],"itemData":{"id":7166,"type":"article-journal","abstract":"We examined the effects of the framing of time on delay discounting. Delay discounting is the process by which delayed outcomes are devalued as a function of time. Time in a titrating delay discounting task is often framed in calendar units (e.g., as 1 week, 1 month, etc.). When time is framed as a specific date, delayed outcomes are discounted less compared to the calendar format. Other forms of framing time; however, have not been explored. All participants completed a titrating calendar unit delay‐discounting task for money. Participants were also assigned to one of two delay discounting tasks: time as dates (e.g., June 1\n                st\n                , 2015) or time in units of days (e.g., 5000 days), using the same delay distribution as the calendar delay‐discounting task. Time framed as dates resulted in less discounting compared to the calendar method, whereas time framed as days resulted in greater discounting compared to the calendar method. The hyperboloid model fit best compared to the hyperbola and exponential models. How time is framed may alter how participants attend to the delays as well as how the delayed outcome is valued. Altering how time is framed may serve to improve adherence to goals with delayed outcomes.","container-title":"Journal of the Experimental Analysis of Behavior","DOI":"10.1002/jeab.125","ISSN":"0022-5002, 1938-3711","issue":"1","journalAbbreviation":"J Exper Analysis Behavior","language":"en","page":"10-21","source":"DOI.org (Crossref)","title":"The effects of the framing of time on delay discounting","volume":"103","author":[{"family":"DeHart","given":"William Brady"},{"family":"Odum","given":"Amy L."}],"issued":{"date-parts":[["2015",1]]}}},{"id":9109,"uris":["http://zotero.org/users/11770822/items/CX7BS75Z"],"itemData":{"id":9109,"type":"article-journal","container-title":"Behavioural Processes","DOI":"10.1016/j.beproc.2012.03.013","ISSN":"03766357","issue":"3","journalAbbreviation":"Behavioural Processes","language":"en","license":"https://www.elsevier.com/tdm/userlicense/1.0/","page":"420-423","source":"DOI.org (Crossref)","title":"The date-delay framing effect in temporal discounting depends on substance abuse","volume":"90","author":[{"family":"Klapproth","given":"Florian"}],"issued":{"date-parts":[["2012",7]]}}},{"id":8279,"uris":["http://zotero.org/users/11770822/items/TWYW38C9"],"itemData":{"id":8279,"type":"article-journal","abstract":"AbstractAttempts to reconstruct the magnitude of recently encountered physical stimuli were influenced by the provision of physical anchors. Whether estimating length, weight, or loudness, those increasing the magnitude of a relatively small (short, light, or quiet) physical anchor produced estimates that were reliably lower than did those decreasing the magnitude of a relatively large (long, heavy, or loud) anchor. Estimates produced without an anchor were also low, suggesting that when people physically adjust upwards from a self‐selected starting point, “no anchor” may, in fact, act as a very low anchor. Physical anchors appear to influence estimates of recently encountered physical stimuli, much as numerical anchors influence estimates of more abstract numerical quantities. Implications for processes underlying anchoring, adjustment, and related tasks are discussed. Copyright © 2006 John Wiley &amp; Sons, Ltd.","container-title":"Journal of Behavioral Decision Making","DOI":"10.1002/bdm.535","ISSN":"0894-3257, 1099-0771","issue":"4","journalAbbreviation":"Behavioral Decision Making","language":"en","license":"http://onlinelibrary.wiley.com/termsAndConditions#vor","page":"393-406","publisher":"Wiley","source":"Crossref","title":"The long and short of it: physical anchoring effects","title-short":"The long and short of it","volume":"19","author":[{"family":"LeBoeuf","given":"Robyn A."},{"family":"Shafir","given":"Eldar"}],"issued":{"date-parts":[["2006",10]]}}}],"schema":"https://github.com/citation-style-language/schema/raw/master/csl-citation.json"} </w:instrText>
      </w:r>
      <w:r w:rsidR="00642057">
        <w:fldChar w:fldCharType="separate"/>
      </w:r>
      <w:r w:rsidR="00934277">
        <w:rPr>
          <w:noProof/>
        </w:rPr>
        <w:t>(DeHart &amp; Odum, 2015; Klapproth, 2012; LeBoeuf &amp; Shafir, 2006)</w:t>
      </w:r>
      <w:r w:rsidR="00642057">
        <w:fldChar w:fldCharType="end"/>
      </w:r>
      <w:r>
        <w:t>. Another example is the hidden zero-effect. The choice changes when the frame includes the absence of consequences of the other option: "Receiving $100 in one month and $0 now" or "Receiving $50 now and $0 in a month"</w:t>
      </w:r>
      <w:r w:rsidR="00747BC4">
        <w:t xml:space="preserve"> </w:t>
      </w:r>
      <w:r w:rsidR="00934277">
        <w:fldChar w:fldCharType="begin"/>
      </w:r>
      <w:r w:rsidR="007F7C43">
        <w:instrText xml:space="preserve"> ADDIN ZOTERO_ITEM CSL_CITATION {"citationID":"hB11xZaH","properties":{"formattedCitation":"(Magen et al., 2008)","plainCitation":"(Magen et al., 2008)","noteIndex":0},"citationItems":[{"id":8277,"uris":["http://zotero.org/users/11770822/items/PE3ZJ7T8"],"itemData":{"id":8277,"type":"article-journal","container-title":"Psychological Science","DOI":"10.1111/j.1467-9280.2008.02137.x","ISSN":"0956-7976, 1467-9280","issue":"7","journalAbbreviation":"Psychol Sci","language":"en","license":"https://journals.sagepub.com/page/policies/text-and-data-mining-license","page":"648-649","publisher":"SAGE Publications","source":"Crossref","title":"The Hidden-Zero Effect: Representing a Single Choice as an Extended Sequence Reduces Impulsive Choice","title-short":"The Hidden-Zero Effect","volume":"19","author":[{"family":"Magen","given":"Eran"},{"family":"Dweck","given":"Carol S."},{"family":"Gross","given":"James J."}],"issued":{"date-parts":[["2008",7]]}}}],"schema":"https://github.com/citation-style-language/schema/raw/master/csl-citation.json"} </w:instrText>
      </w:r>
      <w:r w:rsidR="00934277">
        <w:fldChar w:fldCharType="separate"/>
      </w:r>
      <w:r w:rsidR="007F7C43">
        <w:rPr>
          <w:noProof/>
        </w:rPr>
        <w:t>(Magen et al., 2008)</w:t>
      </w:r>
      <w:r w:rsidR="00934277">
        <w:fldChar w:fldCharType="end"/>
      </w:r>
      <w:r>
        <w:t>. Making it explicit that choosing one option means losing the other affects discount rates. Literature also describes the gain-loss asymmetry, or the sign effect: Delays described as losses are discounted more steeply than as gains. How money is described, gain or loss, affects its subjective value over time. Thus, losing $500 is not identical to winning $500, even if the tasks are equivalent</w:t>
      </w:r>
      <w:r w:rsidR="00747BC4">
        <w:t xml:space="preserve"> </w:t>
      </w:r>
      <w:r w:rsidR="00747BC4">
        <w:fldChar w:fldCharType="begin"/>
      </w:r>
      <w:r w:rsidR="009B551F">
        <w:instrText xml:space="preserve"> ADDIN ZOTERO_ITEM CSL_CITATION {"citationID":"itsNFzcL","properties":{"formattedCitation":"(Asgarova et al., 2020; Furreb\\uc0\\u248{}e, 2020)","plainCitation":"(Asgarova et al., 2020; Furrebøe, 2020)","noteIndex":0},"citationItems":[{"id":8087,"uris":["http://zotero.org/users/11770822/items/X8DLPV8R"],"itemData":{"id":8087,"type":"article-journal","archive":"Scopus","container-title":"Psychological Record","DOI":"10.1007/s40732-020-00379-1","ISSN":"00332933 (ISSN)","issue":"3","journalAbbreviation":"Psychol. Rec.","language":"English","page":"359-371","publisher":"Springer","title":"Gain–Loss Asymmetry in Experiential Probability Discounting","volume":"70","author":[{"family":"Asgarova","given":"R."},{"family":"Macaskill","given":"A.C."},{"family":"Hunt","given":"M.J."}],"issued":{"date-parts":[["2020"]]}}},{"id":7959,"uris":["http://zotero.org/users/11770822/items/XRT2Q3BM"],"itemData":{"id":7959,"type":"article-journal","archive":"Scopus","container-title":"Journal of the Experimental Analysis of Behavior","DOI":"10.1002/jeab.598","ISSN":"00225002 (ISSN)","issue":"3","journalAbbreviation":"J. Exp. Anal. Behav.","language":"English","page":"626-643","publisher":"Wiley-Blackwell Publishing Ltd","title":"The sign effect, systematic devaluations and zero discounting","volume":"113","author":[{"family":"Furrebøe","given":"E.F."}],"issued":{"date-parts":[["2020"]]}}}],"schema":"https://github.com/citation-style-language/schema/raw/master/csl-citation.json"} </w:instrText>
      </w:r>
      <w:r w:rsidR="00747BC4">
        <w:fldChar w:fldCharType="separate"/>
      </w:r>
      <w:r w:rsidR="009B551F" w:rsidRPr="009B551F">
        <w:rPr>
          <w:rFonts w:eastAsiaTheme="minorHAnsi"/>
          <w:lang w:val="es-MX" w:eastAsia="en-US"/>
          <w14:ligatures w14:val="standardContextual"/>
        </w:rPr>
        <w:t>(Asgarova et al., 2020; Furrebøe, 2020)</w:t>
      </w:r>
      <w:r w:rsidR="00747BC4">
        <w:fldChar w:fldCharType="end"/>
      </w:r>
      <w:r>
        <w:t xml:space="preserve">. These effects highlight that in delay discounting tasks, every word choice critically influences discounting rates. </w:t>
      </w:r>
    </w:p>
    <w:p w14:paraId="6CF200F7" w14:textId="16FEA778" w:rsidR="009B7B54" w:rsidRDefault="009B7B54" w:rsidP="009B7B54">
      <w:pPr>
        <w:spacing w:line="360" w:lineRule="auto"/>
        <w:ind w:firstLine="709"/>
      </w:pPr>
      <w:r>
        <w:t xml:space="preserve">Some authors view framing as a cognitive change: a participant's conceptualization that is sensitive to descriptions. For example, Loewenstein and Prelec </w:t>
      </w:r>
      <w:r w:rsidR="000866D6">
        <w:fldChar w:fldCharType="begin"/>
      </w:r>
      <w:r w:rsidR="000866D6">
        <w:instrText xml:space="preserve"> ADDIN ZOTERO_ITEM CSL_CITATION {"citationID":"uE5Ji7dT","properties":{"formattedCitation":"(Loewenstein &amp; Prelec, 1993)","plainCitation":"(Loewenstein &amp; Prelec, 1993)","noteIndex":0},"citationItems":[{"id":9110,"uris":["http://zotero.org/users/11770822/items/MN56Y5AS"],"itemData":{"id":9110,"type":"article-journal","container-title":"Psychological Review","DOI":"10.1037/0033-295X.100.1.91","ISSN":"1939-1471, 0033-295X","issue":"1","journalAbbreviation":"Psychological Review","language":"en","page":"91-108","source":"DOI.org (Crossref)","title":"Preferences for sequences of outcomes.","volume":"100","author":[{"family":"Loewenstein","given":"George F."},{"family":"Prelec","given":"Dražen"}],"issued":{"date-parts":[["1993",1]]}}}],"schema":"https://github.com/citation-style-language/schema/raw/master/csl-citation.json"} </w:instrText>
      </w:r>
      <w:r w:rsidR="000866D6">
        <w:fldChar w:fldCharType="separate"/>
      </w:r>
      <w:r w:rsidR="000866D6">
        <w:rPr>
          <w:noProof/>
        </w:rPr>
        <w:t>(1993)</w:t>
      </w:r>
      <w:r w:rsidR="000866D6">
        <w:fldChar w:fldCharType="end"/>
      </w:r>
      <w:r>
        <w:t xml:space="preserve"> developed a model explaining how people evaluate choices across sequences using heuristics. Their economic model suggests individuals value future consumption less than immediate consumption. Loewenstein and Prelec (1993) assume people start with a conception of sequence-discounting utility, and anomalies like the framing effect depend on characteristics of that prediction, such as the degree of improvement and the spread </w:t>
      </w:r>
      <w:r w:rsidR="000866D6">
        <w:fldChar w:fldCharType="begin"/>
      </w:r>
      <w:r w:rsidR="000866D6">
        <w:instrText xml:space="preserve"> ADDIN ZOTERO_ITEM CSL_CITATION {"citationID":"E3AVzk5V","properties":{"formattedCitation":"(Frederick et 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0866D6">
        <w:fldChar w:fldCharType="separate"/>
      </w:r>
      <w:r w:rsidR="000866D6">
        <w:rPr>
          <w:noProof/>
        </w:rPr>
        <w:t>(Frederick et al., 2002)</w:t>
      </w:r>
      <w:r w:rsidR="000866D6">
        <w:fldChar w:fldCharType="end"/>
      </w:r>
      <w:r>
        <w:t xml:space="preserve">. However, some authors assume discounting models describe choices, not participants' conceptions. When the model describes the choice as a whole, free parameters can take on material variable meaning. The verbal description itself can change the tendency’s degree of improvement, rather than the silent, unconscious decisions predicted by classical models. </w:t>
      </w:r>
    </w:p>
    <w:p w14:paraId="1B1BEE48" w14:textId="77777777" w:rsidR="009B7B54" w:rsidRDefault="009B7B54" w:rsidP="009B7B54">
      <w:pPr>
        <w:spacing w:line="360" w:lineRule="auto"/>
        <w:ind w:firstLine="709"/>
      </w:pPr>
      <w:r>
        <w:t xml:space="preserve">Framing phenomena demonstrate that each symbolic unit and word in a description is key in shaping choice behavior. While two words in a frame may appear synonymous, their impact may differ substantively. This is noteworthy, as much of psychology is based on the idea that words inherently embody meanings that confer functional properties, with the signifier </w:t>
      </w:r>
      <w:r>
        <w:lastRenderedPageBreak/>
        <w:t xml:space="preserve">containing the signified. However, the symbolic relations between words may not be equivalent if they elicit markedly different choices, contrary to dictionary-based expectations. </w:t>
      </w:r>
    </w:p>
    <w:p w14:paraId="1990FF06" w14:textId="573F30B4" w:rsidR="009B7B54" w:rsidRDefault="009B7B54" w:rsidP="009B7B54">
      <w:pPr>
        <w:spacing w:line="360" w:lineRule="auto"/>
        <w:ind w:firstLine="709"/>
      </w:pPr>
      <w:r>
        <w:t xml:space="preserve">Based on Sidman's </w:t>
      </w:r>
      <w:r w:rsidR="000866D6">
        <w:fldChar w:fldCharType="begin"/>
      </w:r>
      <w:r w:rsidR="000866D6">
        <w:instrText xml:space="preserve"> ADDIN ZOTERO_ITEM CSL_CITATION {"citationID":"ikExHo3V","properties":{"formattedCitation":"(Sidman, 1994)","plainCitation":"(Sidman, 1994)","noteIndex":0},"citationItems":[{"id":6195,"uris":["http://zotero.org/users/11770822/items/QLJR9982"],"itemData":{"id":6195,"type":"book","publisher":"Authors Cooperative","publisher-place":"Boston","title":"Equivalence Relations and Behavior: A research story","author":[{"family":"Sidman","given":"M"}],"issued":{"date-parts":[["1994"]]}}}],"schema":"https://github.com/citation-style-language/schema/raw/master/csl-citation.json"} </w:instrText>
      </w:r>
      <w:r w:rsidR="000866D6">
        <w:fldChar w:fldCharType="separate"/>
      </w:r>
      <w:r w:rsidR="000866D6">
        <w:rPr>
          <w:noProof/>
        </w:rPr>
        <w:t>(1994)</w:t>
      </w:r>
      <w:r w:rsidR="000866D6">
        <w:fldChar w:fldCharType="end"/>
      </w:r>
      <w:r w:rsidR="000866D6">
        <w:t xml:space="preserve"> </w:t>
      </w:r>
      <w:r>
        <w:t xml:space="preserve">conception of a symbol, we could say that words framed in different ways can or cannot belong to the same equivalent class, that is, a group of stimuli that share functional properties. In effective framing, when words produce different tendencies, they might not be part of the same equivalence class. This notion may be counterintuitive even outside a Platonic view of language. If we assume that symbols are learned ontogenetically and socially mediated, once established, a name is expected to relate to and control responses to the named event (see </w:t>
      </w:r>
      <w:r w:rsidR="000866D6">
        <w:fldChar w:fldCharType="begin"/>
      </w:r>
      <w:r w:rsidR="00471A39">
        <w:instrText xml:space="preserve"> ADDIN ZOTERO_ITEM CSL_CITATION {"citationID":"00YZIPLi","properties":{"formattedCitation":"(Horne &amp; Lowe, 1996)","plainCitation":"(Horne &amp; Lowe, 1996)","noteIndex":0},"citationItems":[{"id":6462,"uris":["http://zotero.org/users/11770822/items/L3C99EKW"],"itemData":{"id":6462,"type":"article-journal","abstract":"We identify naming as the basic unit of verbal behavior, describe the conditions under which it is learned, and outline its crucial role in the development of stimulus classes and, hence, of symbolic behavior. Drawing upon B. F. Skinner's functional analysis and the theoretical work of G. H. Mead and L. S. Vygotsky, we chart how a child, through learning listener behavior and then echoic responding , learns bidirectional relations between classes of objects or events and his or her own speaker-listener behavior, thus acquiring naming-a higher order behavioral relation. Once established , the bidirectionality incorporated in naming extends across behavior classes such as those identified by Skinner as the mand, tact, and intraverbal so that each becomes a variant of the name relation. We indicate how our account informs the specification of rule-governed behavior and provides the basis for an experimental analysis of symbolic behavior. Furthermore, because naming is both evoked by, and itself evokes, classes of events it brings about new or emergent behavior such as that reported in studies of stimulus equivalence. This account is supported by data from a wide range of match-to-sample studies that also provide evidence that stimulus equivalence in humans is not a unitary phenomenon but the outcome of a number of different types of naming behavior.","container-title":"Journal of the Experimental Analysis of Behavior","issue":"1","page":"185-241","title":"On the origins of naming and other symbolic behavior","volume":"65","author":[{"family":"Horne","given":"Pauline J"},{"family":"Lowe","given":"C Fergus"}],"issued":{"date-parts":[["1996"]]}}}],"schema":"https://github.com/citation-style-language/schema/raw/master/csl-citation.json"} </w:instrText>
      </w:r>
      <w:r w:rsidR="000866D6">
        <w:fldChar w:fldCharType="separate"/>
      </w:r>
      <w:r w:rsidR="00471A39">
        <w:rPr>
          <w:noProof/>
        </w:rPr>
        <w:t>Horne &amp; Lowe, 1996)</w:t>
      </w:r>
      <w:r w:rsidR="000866D6">
        <w:fldChar w:fldCharType="end"/>
      </w:r>
      <w:r>
        <w:t xml:space="preserve">, for the naming-learning process). An event itself is supposed to control the emission of verbal responses, and those responses would be considered equivalent to the event that originally controlled them. However, the framing effect shows that even when a verbal community agrees that two verbal responses refer to the same controlled event, they may not function equivalently: equivalent descriptions can produce different choices, suggesting that verbal stimuli may not be functionally equivalent even when they share the same reference. Thus, we should consider functional properties to determine stimulus equivalence in framing. </w:t>
      </w:r>
    </w:p>
    <w:p w14:paraId="6A944BDD" w14:textId="589C105E" w:rsidR="009B7B54" w:rsidRDefault="009B7B54" w:rsidP="009B7B54">
      <w:pPr>
        <w:spacing w:line="360" w:lineRule="auto"/>
        <w:ind w:firstLine="709"/>
      </w:pPr>
      <w:r>
        <w:t>Furthermore, framing appears to be defined by dependent relational symbolic properties rather than absolute ones: the functional role of a word can vary depending upon its syntactic and contextual position within a sentence. Thus, categorization can be considered dynamic, as the arrangement within a sentence may alter behavioral responses. This complex verbal effect may be described as an autoclitic stimulus function: a primary verbal stimulus, modified by a secondary stimulus, may elicit divergent behavioral tendencies depending on the secondary stimulus. A listener would mix up complex verbal stimuli to respond to them in new ways, to respond to every new complex confection. This is consistent with multiple explanations of complex verbal behavior, such as those of Palmer (</w:t>
      </w:r>
      <w:r w:rsidR="00471A39">
        <w:fldChar w:fldCharType="begin"/>
      </w:r>
      <w:r w:rsidR="00471A39">
        <w:instrText xml:space="preserve"> ADDIN ZOTERO_ITEM CSL_CITATION {"citationID":"ka7p43ry","properties":{"formattedCitation":"(Palmer, 2007)","plainCitation":"(Palmer, 2007)","noteIndex":0},"citationItems":[{"id":9021,"uris":["http://zotero.org/users/11770822/items/XJ8TIP77"],"itemData":{"id":9021,"type":"article-journal","container-title":"European Journal of Behavior Analysis","DOI":"10.1080/15021149.2007.11434280","ISSN":"1502-1149, 2377-729X","issue":"2","journalAbbreviation":"European Journal of Behavior Analysis","language":"en","page":"161-175","source":"DOI.org (Crossref)","title":"Verbal Behavior: What is the Function of Structure?","title-short":"Verbal Behavior","volume":"8","author":[{"family":"Palmer","given":"David C."}],"issued":{"date-parts":[["2007",12]]}}}],"schema":"https://github.com/citation-style-language/schema/raw/master/csl-citation.json"} </w:instrText>
      </w:r>
      <w:r w:rsidR="00471A39">
        <w:fldChar w:fldCharType="separate"/>
      </w:r>
      <w:r w:rsidR="00471A39">
        <w:rPr>
          <w:noProof/>
        </w:rPr>
        <w:t>2007</w:t>
      </w:r>
      <w:r w:rsidR="00471A39">
        <w:fldChar w:fldCharType="end"/>
      </w:r>
      <w:r>
        <w:t xml:space="preserve">), Place </w:t>
      </w:r>
      <w:r w:rsidR="005736CB">
        <w:fldChar w:fldCharType="begin"/>
      </w:r>
      <w:r w:rsidR="005736CB">
        <w:instrText xml:space="preserve"> ADDIN ZOTERO_ITEM CSL_CITATION {"citationID":"bQsW2JCU","properties":{"formattedCitation":"(Place, 1998)","plainCitation":"(Place, 1998)","noteIndex":0},"citationItems":[{"id":9111,"uris":["http://zotero.org/users/11770822/items/IH99H5F2"],"itemData":{"id":9111,"type":"article-journal","container-title":"The Analysis of Verbal Behavior","DOI":"10.1007/BF03392935","ISSN":"0889-9401, 2196-8926","issue":"1","journalAbbreviation":"Analysis Verbal Behav","language":"en","page":"131-133","source":"DOI.org (Crossref)","title":"Sentence and Sentence Structure in the Analysis of Verbal Behavior","volume":"15","author":[{"family":"Place","given":"Ullin T."}],"issued":{"date-parts":[["1998",4]]}}}],"schema":"https://github.com/citation-style-language/schema/raw/master/csl-citation.json"} </w:instrText>
      </w:r>
      <w:r w:rsidR="005736CB">
        <w:fldChar w:fldCharType="separate"/>
      </w:r>
      <w:r w:rsidR="005736CB">
        <w:rPr>
          <w:noProof/>
        </w:rPr>
        <w:t>(1998)</w:t>
      </w:r>
      <w:r w:rsidR="005736CB">
        <w:fldChar w:fldCharType="end"/>
      </w:r>
      <w:r>
        <w:t xml:space="preserve">, and Streemer </w:t>
      </w:r>
      <w:r w:rsidR="005736CB">
        <w:fldChar w:fldCharType="begin"/>
      </w:r>
      <w:r w:rsidR="004473AE">
        <w:instrText xml:space="preserve"> ADDIN ZOTERO_ITEM CSL_CITATION {"citationID":"8w4AVEwa","properties":{"formattedCitation":"(Stemmer, 1980)","plainCitation":"(Stemmer, 1980)","noteIndex":0},"citationItems":[{"id":9113,"uris":["http://zotero.org/users/11770822/items/FC8RBIT6"],"itemData":{"id":9113,"type":"article-journal","container-title":"The Behavior Analyst","DOI":"10.1007/BF03391841","ISSN":"0738-6729, 2196-8918","issue":"2","journalAbbreviation":"BEHAV ANALYST","language":"en","page":"41-48","source":"DOI.org (Crossref)","title":"Natural Concepts and Generalization Classes","volume":"3","author":[{"family":"Stemmer","given":"Nathan"}],"issued":{"date-parts":[["1980",10]]}}}],"schema":"https://github.com/citation-style-language/schema/raw/master/csl-citation.json"} </w:instrText>
      </w:r>
      <w:r w:rsidR="005736CB">
        <w:fldChar w:fldCharType="separate"/>
      </w:r>
      <w:r w:rsidR="004473AE">
        <w:rPr>
          <w:noProof/>
        </w:rPr>
        <w:t>(1980)</w:t>
      </w:r>
      <w:r w:rsidR="005736CB">
        <w:fldChar w:fldCharType="end"/>
      </w:r>
      <w:r>
        <w:t>.</w:t>
      </w:r>
    </w:p>
    <w:p w14:paraId="562F5073" w14:textId="77777777" w:rsidR="009B7B54" w:rsidRDefault="009B7B54" w:rsidP="009B7B54">
      <w:pPr>
        <w:spacing w:line="360" w:lineRule="auto"/>
        <w:ind w:firstLine="709"/>
      </w:pPr>
      <w:r>
        <w:t xml:space="preserve">Palmer (2007) proposed understanding verbal complexity through the concept of the Autoclitic frame, a verbal operant that alters fixed and variable sentence elements. Like grammar, autoclitic frames could correspond to sentence order, such as subject-verb-object. Studying autoclitic frame learning might explain sentence control complexity, as sequences of known words follow arbitrary conventions linked to certain behaviors: “Behavioral units are dynamic, flexible, and context dependent, embracing units from speech sounds and phrases to </w:t>
      </w:r>
      <w:r>
        <w:lastRenderedPageBreak/>
        <w:t>sentences and memorized speeches. The function of verbal behavior is to affect the listener characteristically, and units are functionally complete when accomplishing this” (Palmer, 2007)</w:t>
      </w:r>
    </w:p>
    <w:p w14:paraId="702E2C95" w14:textId="77777777" w:rsidR="009B7B54" w:rsidRDefault="009B7B54" w:rsidP="009B7B54">
      <w:pPr>
        <w:spacing w:line="360" w:lineRule="auto"/>
        <w:ind w:firstLine="709"/>
      </w:pPr>
      <w:r>
        <w:t>Place (1998), consistent with Palmer, also identifies that sentences are important behavioral units that are dependent on the past learning history of their minimal units, the words, but that can take new ways in different arrangements, believing that the sentence, with each formal classification of the words, is fundamental to understanding verbal behavior. Consistent with framing effects, a particular word used in a sentence must be considered because it can change the effects of the whole sentence.</w:t>
      </w:r>
    </w:p>
    <w:p w14:paraId="604A68E9" w14:textId="77777777" w:rsidR="00722077" w:rsidRDefault="009B7B54" w:rsidP="00722077">
      <w:pPr>
        <w:spacing w:line="360" w:lineRule="auto"/>
        <w:ind w:firstLine="709"/>
      </w:pPr>
      <w:r>
        <w:t>Stemmer (2002) also pointed out the importance of the structural and particular parts of the sentences: action frames and ostensive events; the first corresponds to the general unit of the sentence, and the second to the specific objects paired with the specific names given to them. Action frames and ostensive events together  would both compound the sentences and the verbal behavior, leading to listener behavior under control of structural features of new verbal stimuli that are functions of context properties and that control those stimuli (Barbosa et al., 2009). Specifically, in the autoclitic frame, action frame, and ostensive contingencies, there is an emphasis on the parts. When studying framing, we are interested in getting closer to the verbal stimulus control by changing specific parts of those frames, because the words take on special importance, as their equivalence with their meaning and the function of that meaning would change and control the participant's behavior. Choice would depend on and be sensitive to the verbally described contingencies, which would change when they symbolically mean the same but are framed differently.</w:t>
      </w:r>
    </w:p>
    <w:p w14:paraId="324C33D6" w14:textId="45D3900F" w:rsidR="009B7B54" w:rsidRDefault="009B7B54" w:rsidP="00722077">
      <w:pPr>
        <w:spacing w:line="360" w:lineRule="auto"/>
        <w:ind w:firstLine="709"/>
      </w:pPr>
      <w:r>
        <w:t>Back to delay discounting, the way a word is used and the frame in which it is used may change the overall choice tendency, as is already known. Barcelos (20</w:t>
      </w:r>
      <w:r w:rsidR="00297C4F">
        <w:t>20</w:t>
      </w:r>
      <w:r>
        <w:t>) analyzed how a “</w:t>
      </w:r>
      <w:r>
        <w:rPr>
          <w:i/>
          <w:iCs/>
        </w:rPr>
        <w:t xml:space="preserve">should- would” </w:t>
      </w:r>
      <w:r>
        <w:t xml:space="preserve">manipulation of a sentence can change the rates of delay. Being asked what you would like to do or what you should do would elicit different responses: one referring to preferences and the other to norms. In this way, changing a question from 'should' to 'would' in a delay discounting task, and maintaining all the other descriptions equal, would change tendencies. Although the amounts and delays described in a “should” task are equal to those of a “like” task, (f.e., “What should you prefer? $100 today or $150 in a month” vs “What would you like? $100 today or $150 in a month”), the responses would not only be affected by the amounts and delays but also by the way the description is done. As Skinner </w:t>
      </w:r>
      <w:r w:rsidR="00297C4F">
        <w:fldChar w:fldCharType="begin"/>
      </w:r>
      <w:r w:rsidR="00722077">
        <w:instrText xml:space="preserve"> ADDIN ZOTERO_ITEM CSL_CITATION {"citationID":"lpGO45AP","properties":{"formattedCitation":"(Skinner, 1957)","plainCitation":"(Skinner, 1957)","noteIndex":0},"citationItems":[{"id":6786,"uris":["http://zotero.org/users/11770822/items/2TD9S83M"],"itemData":{"id":6786,"type":"book","publisher":"Appleton Century Crofts Inc.","publisher-place":"New York","title":"Verbal behavior","volume":"1","author":[{"family":"Skinner","given":"B.F."}],"editor":[{"family":"Elliot","given":"R"}],"issued":{"date-parts":[["1957"]]}}}],"schema":"https://github.com/citation-style-language/schema/raw/master/csl-citation.json"} </w:instrText>
      </w:r>
      <w:r w:rsidR="00297C4F">
        <w:fldChar w:fldCharType="separate"/>
      </w:r>
      <w:r w:rsidR="00722077">
        <w:rPr>
          <w:noProof/>
        </w:rPr>
        <w:t>(Skinner, 1957)</w:t>
      </w:r>
      <w:r w:rsidR="00297C4F">
        <w:fldChar w:fldCharType="end"/>
      </w:r>
      <w:r>
        <w:t xml:space="preserve">autoclitics, </w:t>
      </w:r>
      <w:r>
        <w:lastRenderedPageBreak/>
        <w:t xml:space="preserve">changing the word used alters the functions of other words and influences the listener's choices, from a preference response to a societal expectation response. Consistently, experiments on </w:t>
      </w:r>
      <w:r>
        <w:rPr>
          <w:i/>
          <w:iCs/>
        </w:rPr>
        <w:t>should and would</w:t>
      </w:r>
      <w:r>
        <w:t xml:space="preserve"> framing showed that participants discounted more when asked with the would word than with the should word. </w:t>
      </w:r>
      <w:r w:rsidR="00297C4F">
        <w:fldChar w:fldCharType="begin"/>
      </w:r>
      <w:r w:rsidR="00297C4F">
        <w:instrText xml:space="preserve"> ADDIN ZOTERO_ITEM CSL_CITATION {"citationID":"lyxChrtp","properties":{"formattedCitation":"(Barcelos Nomicos et al., 2020)","plainCitation":"(Barcelos Nomicos et al., 2020)","noteIndex":0},"citationItems":[{"id":7180,"uris":["http://zotero.org/users/11770822/items/HZHULGB5"],"itemData":{"id":7180,"type":"article-journal","container-title":"The Analysis of Verbal Behavior","DOI":"10.1007/s40616-020-00127-0","ISSN":"0889-9401, 2196-8926","issue":"1","journalAbbreviation":"Analysis Verbal Behav","language":"en","page":"74-86","source":"DOI.org (Crossref)","title":"The Effects of Obligatory and Preferential Frames on Delay Discounting","volume":"36","author":[{"family":"Barcelos Nomicos","given":"Laura"},{"family":"Jacobs","given":"Kenneth W."},{"family":"Locey","given":"Matthew L."}],"issued":{"date-parts":[["2020",6]]}}}],"schema":"https://github.com/citation-style-language/schema/raw/master/csl-citation.json"} </w:instrText>
      </w:r>
      <w:r w:rsidR="00297C4F">
        <w:fldChar w:fldCharType="separate"/>
      </w:r>
      <w:r w:rsidR="00297C4F">
        <w:rPr>
          <w:noProof/>
        </w:rPr>
        <w:t>(Barcelos Nomicos et al., 2020)</w:t>
      </w:r>
      <w:r w:rsidR="00297C4F">
        <w:fldChar w:fldCharType="end"/>
      </w:r>
    </w:p>
    <w:p w14:paraId="306D6A6A" w14:textId="77777777" w:rsidR="009B7B54" w:rsidRDefault="009B7B54" w:rsidP="009B7B54">
      <w:pPr>
        <w:spacing w:line="360" w:lineRule="auto"/>
        <w:ind w:firstLine="709"/>
      </w:pPr>
      <w:r>
        <w:t>Based on the analysis of verbal behavior, stating that the verbal descriptions in framing are merely equal is not a good description of framing, because the behaviors may show that, topographically and functionally, the sentences are different. We might focus on the description topographies and the response tendencies: In the calendar-framing manipulation, authors assume a cultural correspondence between 30 days, from 1 May to 1 April, and 1 month. They are all equal in terms of the quantity of intervals in time passing, but the focus of each description can change their actual reference. We could call it a matter of relative meaning, given that one description is centered on the participants present, while the other is more exocentric: 1-month framing depends on the present moment of the participant, is a condition relative to one's present, and the distance is maintained from now to the indicated moment in any possible present: From now to 1 month will still be from now to 1 month if it is called this way today or in a year. Instead, when given a specific date, it is fixed to the calendar, regardless of the participant's current moment. The date is  objective to the calendar as a social convention of time management. 15 of April of 2026 will be that day, even if it is called today, tomorrow, or even a year after that day. In this regard, even when the interval between 15 April and today, and from now to 1 month is equal, it might have a different functional relation with an individual choice; it can be relatively dependent on other complex verbal relations that can control the choice tendencies of synonyms.</w:t>
      </w:r>
    </w:p>
    <w:p w14:paraId="70983DE5" w14:textId="77777777" w:rsidR="009B7B54" w:rsidRDefault="009B7B54" w:rsidP="009B7B54">
      <w:pPr>
        <w:spacing w:line="360" w:lineRule="auto"/>
        <w:ind w:firstLine="709"/>
      </w:pPr>
      <w:r>
        <w:t xml:space="preserve">In the case of the hidden Zero-effect explained before, some situations may not really imply a hidden zero: If a monetary task, in which the participant must answer multiple questions about receiving a certain amount of money now or a greater one later, does not close the possibilities of obtaining money from other sources, there is no zero hidden anywhere. Also, if the task does not say that the whole amount of money is going to be given at that moment, and, because money is not perishable, it is assumed that it will not be consumed now that it is given. With this and many other uncontrolled situations, a task that does not explicitly state the zero might not be equivalent to one that does. The descriptions might be considered different, and the explicit zero framing changes not only how the description is given but also the amount of </w:t>
      </w:r>
      <w:r>
        <w:lastRenderedPageBreak/>
        <w:t xml:space="preserve">information the participant has about the hypothetical situation. Also, in experiments with consumable outcomes and real delay, the designs may not fit with zero-effect descriptions. For example, if a participant must choose between waiting 5 seconds to play a game for 6 seconds or waiting 10 seconds to play a game for 15 seconds, in the first option, gameplay overlaps with the time specified for the second option. This means there is not really a zero period after 15 seconds with no consumption, only an end of consumption for the other option. </w:t>
      </w:r>
    </w:p>
    <w:p w14:paraId="1B8B6EC8" w14:textId="61DF37F4" w:rsidR="009B7B54" w:rsidRDefault="009B7B54" w:rsidP="009B7B54">
      <w:pPr>
        <w:spacing w:line="360" w:lineRule="auto"/>
        <w:ind w:firstLine="709"/>
      </w:pPr>
      <w:r>
        <w:t xml:space="preserve">The hidden zero effect framing calls attention to another problem that is not mainly a matter of framing, but is important to name: money as an outcome in intertemporal choice tasks. Fuchs </w:t>
      </w:r>
      <w:r w:rsidR="00082A97">
        <w:fldChar w:fldCharType="begin"/>
      </w:r>
      <w:r w:rsidR="00A92D3E">
        <w:instrText xml:space="preserve"> ADDIN ZOTERO_ITEM CSL_CITATION {"citationID":"ueXWMdlW","properties":{"formattedCitation":"(Fuchs, 1982)","plainCitation":"(Fuchs, 1982)","noteIndex":0},"citationItems":[{"id":9114,"uris":["http://zotero.org/users/11770822/items/9C7HNPMY"],"itemData":{"id":9114,"type":"chapter","container-title":"Economic Aspects of Health","ISBN":"0-226-26785-7","page":"93-120","publisher":"University of Chicago Press","publisher-place":"Chicago","title":"Time Preference and Health: An Exploratory Study","author":[{"family":"Fuchs","given":"Victor"}],"issued":{"date-parts":[["1982"]]}}}],"schema":"https://github.com/citation-style-language/schema/raw/master/csl-citation.json"} </w:instrText>
      </w:r>
      <w:r w:rsidR="00082A97">
        <w:fldChar w:fldCharType="separate"/>
      </w:r>
      <w:r w:rsidR="00A92D3E">
        <w:rPr>
          <w:noProof/>
        </w:rPr>
        <w:t>(1982)</w:t>
      </w:r>
      <w:r w:rsidR="00082A97">
        <w:fldChar w:fldCharType="end"/>
      </w:r>
      <w:r>
        <w:t xml:space="preserve"> says that money cannot be used in intertemporal choices because of its nature. Money is tradable, part of a capital market in which the amount of money at different times has differential costs, and market participants exchange it at specific interest rates. In this way, choices related to money with delay manipulations are not necessarily controlled by delay manipulations, but by the market interest rates. Also, intertemporal choices are usually treated as discrete, unitary, dated events; that is, they are independent of each other, constitute a simple whole, and are accomplished at a given moment. But consumption of a monetary reward cannot be instantaneous, and people can shift consumption over time when knowing of a future reward: “In theory, choices between tradable rewards, such as money, should not reveal anything about time preferences. To illustrate, suppose a person prefers $100 now to $200 ten years from now. While this preference could be explained by imputing a discount rate on future utility, the person might be choosing the smaller immediate amount because she believes that through proper investment, she can turn it into more than $200 in ten years and thus enjoy more than $200 worth of consumption at that future time. The presence of capital markets should cause imputed discount rates to converge on the market interest rate. Studies that impute discount rates from choices among tradable rewards assume that respondents ignore opportunities for intertemporal arbitrage, either because they are unaware of capital markets or unable to exploit them”</w:t>
      </w:r>
      <w:r w:rsidR="003E4E94">
        <w:fldChar w:fldCharType="begin"/>
      </w:r>
      <w:r w:rsidR="003E4E94">
        <w:instrText xml:space="preserve"> ADDIN ZOTERO_ITEM CSL_CITATION {"citationID":"TrsXrc4o","properties":{"formattedCitation":"(Frederick et al., 2002)","plainCitation":"(Frederick et al., 2002)","noteIndex":0},"citationItems":[{"id":9108,"uris":["http://zotero.org/users/11770822/items/TBFPWIX8"],"itemData":{"id":9108,"type":"article-journal","container-title":"Journal of Economic Literature","DOI":"10.1257/jel.40.2.351","ISSN":"0022-0515","issue":"2","journalAbbreviation":"Journal of Economic Literature","language":"en","page":"351-401","source":"DOI.org (Crossref)","title":"Time Discounting and Time Preference: A Critical Review","title-short":"Time Discounting and Time Preference","volume":"40","author":[{"family":"Frederick","given":"Shane"},{"family":"Loewenstein","given":"George"},{"family":"O’donoghue","given":"Ted"}],"issued":{"date-parts":[["2002",6]]}}}],"schema":"https://github.com/citation-style-language/schema/raw/master/csl-citation.json"} </w:instrText>
      </w:r>
      <w:r w:rsidR="003E4E94">
        <w:fldChar w:fldCharType="separate"/>
      </w:r>
      <w:r w:rsidR="003E4E94">
        <w:rPr>
          <w:noProof/>
        </w:rPr>
        <w:t>(Frederick et al., 2002)</w:t>
      </w:r>
      <w:r w:rsidR="003E4E94">
        <w:fldChar w:fldCharType="end"/>
      </w:r>
      <w:r>
        <w:t xml:space="preserve">. In this way, even when there are multiple studies on the framing effect, the monetary hypothetical task, or any task that uses outcomes that are not consumable, these tasks may involve processes distinct from discounting. This fact does not invalidate the research line of framing, but it invites us to adapt the manipulations to tasks with consumable outcomes and real delays, to assess the framing effect in other contexts. </w:t>
      </w:r>
    </w:p>
    <w:p w14:paraId="4F25BA68" w14:textId="77777777" w:rsidR="009B7B54" w:rsidRDefault="009B7B54" w:rsidP="009B7B54">
      <w:pPr>
        <w:spacing w:line="360" w:lineRule="auto"/>
        <w:ind w:firstLine="709"/>
      </w:pPr>
      <w:r>
        <w:rPr>
          <w:b/>
          <w:bCs/>
        </w:rPr>
        <w:t>The words that we use: Framing time</w:t>
      </w:r>
    </w:p>
    <w:p w14:paraId="756D1A1E" w14:textId="3FB6561C" w:rsidR="009B7B54" w:rsidRDefault="009B7B54" w:rsidP="009B7B54">
      <w:pPr>
        <w:spacing w:line="360" w:lineRule="auto"/>
        <w:ind w:firstLine="709"/>
      </w:pPr>
      <w:r>
        <w:lastRenderedPageBreak/>
        <w:t xml:space="preserve">Framing manipulation calls our attention to the way we learn to name the time and the magnitude of an outcome, the two descriptions that are usually manipulated in framing experiments in delay discounting. If the naming process is an ostensive process, and time, on the other side, is not an object itself, how do we learn to pair an interval with “long”, “short”, “a second”, “a minute”, or even “now”, “latter”? We suppose the process is like ostensive matching between objects and their names. But time discrimination and time control over other behaviors are not dependent solely on concrete events. As time is not ”long” as distances or ”much” as amount, and it is not resolved by any specific sensory modality nor has a nonarbitrary correspondence metric system to rely on, the description of that abstract aspect of reality must be metaphoric or heuristic and totally arbitrary </w:t>
      </w:r>
      <w:r w:rsidR="003E4E94">
        <w:fldChar w:fldCharType="begin"/>
      </w:r>
      <w:r w:rsidR="00C65077">
        <w:instrText xml:space="preserve"> ADDIN ZOTERO_ITEM CSL_CITATION {"citationID":"qnKmYU69","properties":{"formattedCitation":"(Boroditsky, 2001; Casasanto et al., 2004)","plainCitation":"(Boroditsky, 2001; Casasanto et al., 2004)","noteIndex":0},"citationItems":[{"id":9076,"uris":["http://zotero.org/users/11770822/items/N2RTZHEX"],"itemData":{"id":9076,"type":"article-journal","container-title":"Cognitive Psychology","DOI":"10.1006/cogp.2001.0748","ISSN":"00100285","issue":"1","journalAbbreviation":"Cognitive Psychology","language":"en","license":"https://www.elsevier.com/tdm/userlicense/1.0/","page":"1-22","source":"DOI.org (Crossref)","title":"Does Language Shape Thought?: Mandarin and English Speakers' Conceptions of Time","title-short":"Does Language Shape Thought?","volume":"43","author":[{"family":"Boroditsky","given":"Lera"}],"issued":{"date-parts":[["2001",8]]}}},{"id":9107,"uris":["http://zotero.org/users/11770822/items/QKYVSWED"],"itemData":{"id":9107,"type":"paper-conference","container-title":"Phllips,","event-title":"Annual Meeting of the Cognitive Science Society","issue":"26","publisher":"Proceedings of the Annual Meeting of the Cognitive Science Society","title":"How deep are effects of language on thought? Time estimation in speakers of English, Indonesian, Greek, and Spanish","volume":"26","author":[{"family":"Casasanto","given":"Daniel"},{"family":"Boroditsky","given":"Lera"},{"family":"Phillips","given":"Webb"}],"issued":{"date-parts":[["2004"]]}}}],"schema":"https://github.com/citation-style-language/schema/raw/master/csl-citation.json"} </w:instrText>
      </w:r>
      <w:r w:rsidR="003E4E94">
        <w:fldChar w:fldCharType="separate"/>
      </w:r>
      <w:r w:rsidR="00C65077">
        <w:rPr>
          <w:noProof/>
        </w:rPr>
        <w:t>(Boroditsky, 2001; Casasanto et al., 2004)</w:t>
      </w:r>
      <w:r w:rsidR="003E4E94">
        <w:fldChar w:fldCharType="end"/>
      </w:r>
      <w:r>
        <w:t xml:space="preserve"> Time conventionality is obvious when we see that time quantity description varies across languages, shaping how one talks about time: saying “long time” or “much time” would be correct in some languages, English for the first and Spanish for the second, changing the way time is quantified. </w:t>
      </w:r>
    </w:p>
    <w:p w14:paraId="758FF824" w14:textId="57A45788" w:rsidR="009B7B54" w:rsidRDefault="009B7B54" w:rsidP="00AB3CEF">
      <w:pPr>
        <w:spacing w:line="360" w:lineRule="auto"/>
        <w:ind w:firstLine="709"/>
      </w:pPr>
      <w:r>
        <w:t xml:space="preserve">But mainly, we are talking about stimulus control. Because animals, even without names, perceive time. There are physical properties in such an abstract concept. Animal experiments have shown that time perception is relative. In bisection tasks, in which animals learn to discriminate between two intervals, timing processes have been widely studied. Pigeons, for example, must learn to choose a color, let’s say red, when they see a 2-second sample, and to choose another color, let’s say green, after a 5-second sample. Pigeons are able, as humans, to discriminate between the intervals. In double-bisection tasks, animals are assessed for learning a short interval associated with one stimulus, let’s say 1-s to red, presented with a green stimulus that, during that training, would be paired with a 4-s stimulus. And then, in a second training, another stimulus, let’s say blue, would be paired to a 4-s stimulus, and yellow to a 16s stimulus. In test trials, when the options are green and blue, participants tend to choose green over blue as the sample duration increases </w:t>
      </w:r>
      <w:r w:rsidR="00735ACF">
        <w:fldChar w:fldCharType="begin"/>
      </w:r>
      <w:r w:rsidR="00735ACF">
        <w:instrText xml:space="preserve"> ADDIN ZOTERO_ITEM CSL_CITATION {"citationID":"aU938gXY","properties":{"formattedCitation":"(Machado &amp; Keen, 1999)","plainCitation":"(Machado &amp; Keen, 1999)","noteIndex":0},"citationItems":[{"id":9115,"uris":["http://zotero.org/users/11770822/items/P9WM2BNX"],"itemData":{"id":9115,"type":"article-journal","abstract":"Two theories of timing, scalar expectancy theory (SET) and learning to time (LeT), make substantially different assumptions about what animals learn in temporal tasks. In a test of these assumptions, pigeons learned two discriminations: On Type 1 trials, they learned to choose a red key after a 1-s signal and a green key after a 4-s signal; on Type 2 trials, they learned to choose a blue key after a 4-s signal and a yellow key after a 16-s signal. Then, two psychometric functions were obtained by presenting them with intermediate durations (1 to 4 s and 4 to 16 s). The two functions did not superpose, and most bisection points were not at the geometric mean of the training stimuli (contra SET); for most birds, the function for Type 2 trials was to the left of the function for Type 1 trials (contra LeT). Finally, the birds were exposed to signals ranging from 1 to 16 s and given a choice between novel key combinations (e.g., red vs. blue). The results with the novel key combinations were always closer to LeT's than to SET's predictions. Observations of the birds' behavior also suggest that, more than being a mere expression of an internal clock, behavior constitutes the clock.","container-title":"Psychological Science","DOI":"10.1111/1467-9280.00152","ISSN":"0956-7976, 1467-9280","issue":"3","journalAbbreviation":"Psychol Sci","language":"en","license":"https://journals.sagepub.com/page/policies/text-and-data-mining-license","page":"285-290","source":"DOI.org (Crossref)","title":"Learning to Time (LET) or Scalar Expectancy Theory (SET)? A Critical Test of Two Models of Timing","title-short":"Learning to Time (LET) or Scalar Expectancy Theory (SET)?","volume":"10","author":[{"family":"Machado","given":"Armando"},{"family":"Keen","given":"Richard"}],"issued":{"date-parts":[["1999",5]]}}}],"schema":"https://github.com/citation-style-language/schema/raw/master/csl-citation.json"} </w:instrText>
      </w:r>
      <w:r w:rsidR="00735ACF">
        <w:fldChar w:fldCharType="separate"/>
      </w:r>
      <w:r w:rsidR="00735ACF">
        <w:rPr>
          <w:noProof/>
        </w:rPr>
        <w:t>(Machado &amp; Keen, 1999)</w:t>
      </w:r>
      <w:r w:rsidR="00735ACF">
        <w:fldChar w:fldCharType="end"/>
      </w:r>
      <w:r w:rsidR="00735ACF">
        <w:t xml:space="preserve">. </w:t>
      </w:r>
      <w:r>
        <w:t xml:space="preserve">Results of double bisection tasks have been analyzed under the concept of Context Effect, which describes that when two comparison stimuli were reinforced for the same duration, the contexts in which they were learned differed and affected choices afterward. In this way, one color would be relative to “short” samples and the other to “long” samples, rather than to the absolute interval of 4s for both. </w:t>
      </w:r>
      <w:r w:rsidR="00272CB8">
        <w:fldChar w:fldCharType="begin"/>
      </w:r>
      <w:r w:rsidR="0069198A">
        <w:instrText xml:space="preserve"> ADDIN ZOTERO_ITEM CSL_CITATION {"citationID":"Kahk2XXo","properties":{"formattedCitation":"(Arantes, 2008; Machado &amp; Keen, 1999; Sp\\uc0\\u237{}nola et al., 2013)","plainCitation":"(Arantes, 2008; Machado &amp; Keen, 1999; Spínola et al., 2013)","noteIndex":0},"citationItems":[{"id":9116,"uris":["http://zotero.org/users/11770822/items/K65AYZQV"],"itemData":{"id":9116,"type":"article-journal","container-title":"Behavioural Processes","DOI":"10.1016/j.beproc.2007.12.008","ISSN":"03766357","issue":"2","journalAbbreviation":"Behavioural Processes","language":"en","license":"https://www.elsevier.com/tdm/userlicense/1.0/","page":"269-278","source":"DOI.org (Crossref)","title":"Comparison of Scalar Expectancy Theory (SET) and the Learning-to-Time (LeT) model in a successive temporal bisection task","volume":"78","author":[{"family":"Arantes","given":"Joana"}],"issued":{"date-parts":[["2008",6]]}}},{"id":9115,"uris":["http://zotero.org/users/11770822/items/P9WM2BNX"],"itemData":{"id":9115,"type":"article-journal","abstract":"Two theories of timing, scalar expectancy theory (SET) and learning to time (LeT), make substantially different assumptions about what animals learn in temporal tasks. In a test of these assumptions, pigeons learned two discriminations: On Type 1 trials, they learned to choose a red key after a 1-s signal and a green key after a 4-s signal; on Type 2 trials, they learned to choose a blue key after a 4-s signal and a yellow key after a 16-s signal. Then, two psychometric functions were obtained by presenting them with intermediate durations (1 to 4 s and 4 to 16 s). The two functions did not superpose, and most bisection points were not at the geometric mean of the training stimuli (contra SET); for most birds, the function for Type 2 trials was to the left of the function for Type 1 trials (contra LeT). Finally, the birds were exposed to signals ranging from 1 to 16 s and given a choice between novel key combinations (e.g., red vs. blue). The results with the novel key combinations were always closer to LeT's than to SET's predictions. Observations of the birds' behavior also suggest that, more than being a mere expression of an internal clock, behavior constitutes the clock.","container-title":"Psychological Science","DOI":"10.1111/1467-9280.00152","ISSN":"0956-7976, 1467-9280","issue":"3","journalAbbreviation":"Psychol Sci","language":"en","license":"https://journals.sagepub.com/page/policies/text-and-data-mining-license","page":"285-290","source":"DOI.org (Crossref)","title":"Learning to Time (LET) or Scalar Expectancy Theory (SET)? A Critical Test of Two Models of Timing","title-short":"Learning to Time (LET) or Scalar Expectancy Theory (SET)?","volume":"10","author":[{"family":"Machado","given":"Armando"},{"family":"Keen","given":"Richard"}],"issued":{"date-parts":[["1999",5]]}}},{"id":8896,"uris":["http://zotero.org/users/11770822/items/ZRW2K6KN"],"itemData":{"id":8896,"type":"article-journal","container-title":"Behavioural Processes","DOI":"10.1016/j.beproc.2013.01.003","ISSN":"03766357","journalAbbreviation":"Behavioural Processes","language":"en","license":"https://www.elsevier.com/tdm/userlicense/1.0/","page":"40-49","source":"DOI.org (Crossref)","title":"What do humans learn in a double, temporal bisection task: Absolute or relative stimulus durations?","title-short":"What do humans learn in a double, temporal bisection task","volume":"95","author":[{"family":"Spínola","given":"Igor"},{"family":"Machado","given":"Armando"},{"family":"De Carvalho","given":"Marilia Pinheiro"},{"family":"Tonneau","given":"François"}],"issued":{"date-parts":[["2013",5]]}}}],"schema":"https://github.com/citation-style-language/schema/raw/master/csl-citation.json"} </w:instrText>
      </w:r>
      <w:r w:rsidR="00272CB8">
        <w:fldChar w:fldCharType="separate"/>
      </w:r>
      <w:r w:rsidR="0069198A" w:rsidRPr="0069198A">
        <w:rPr>
          <w:rFonts w:eastAsiaTheme="minorHAnsi"/>
          <w:lang w:val="es-MX" w:eastAsia="en-US"/>
          <w14:ligatures w14:val="standardContextual"/>
        </w:rPr>
        <w:t>(Arantes, 2008; Machado &amp; Keen, 1999; Spínola et al., 2013)</w:t>
      </w:r>
      <w:r w:rsidR="00272CB8">
        <w:fldChar w:fldCharType="end"/>
      </w:r>
      <w:r w:rsidR="00AB3CEF">
        <w:t xml:space="preserve">. </w:t>
      </w:r>
      <w:r>
        <w:t xml:space="preserve">This is consistent across animals and humans, and </w:t>
      </w:r>
      <w:r>
        <w:lastRenderedPageBreak/>
        <w:t>it stands that, even when learning to encode the absolute value of time stimuli, participants also encode them as short or long in a relational way and respond relatively (Spínola et al., 2013).</w:t>
      </w:r>
    </w:p>
    <w:p w14:paraId="2F2F7809" w14:textId="022F568A" w:rsidR="009B7B54" w:rsidRDefault="009B7B54" w:rsidP="009B7B54">
      <w:pPr>
        <w:spacing w:line="360" w:lineRule="auto"/>
        <w:ind w:firstLine="709"/>
      </w:pPr>
      <w:r>
        <w:t>As a verbal process in humans, time naming has been well described as an ontogenetically mediated process by the Theory of magnitude. It describes that quantitative dimensions are all learned by the same processing system, which means that size, direction, or quantity, even when all of them refer to different abstract phenomena -- space, time, and numbers --, they are initially part of the same class: the magnitude</w:t>
      </w:r>
      <w:r w:rsidR="006A07E3">
        <w:t xml:space="preserve"> </w:t>
      </w:r>
      <w:r w:rsidR="001B7B63">
        <w:fldChar w:fldCharType="begin"/>
      </w:r>
      <w:r w:rsidR="006A07E3">
        <w:instrText xml:space="preserve"> ADDIN ZOTERO_ITEM CSL_CITATION {"citationID":"DLxboUxN","properties":{"formattedCitation":"(Stoji\\uc0\\u263{} et al., 2023)","plainCitation":"(Stojić et al., 2023)","noteIndex":0},"citationItems":[{"id":9041,"uris":["http://zotero.org/users/11770822/items/HT7ZQVF5"],"itemData":{"id":9041,"type":"article-journal","abstract":"Abstract\n            Time is a uniquely human yet culturally ubiquitous concept acquired over childhood and provides an underlying dimension for episodic memory and estimating durations. Because time, unlike distance, lacks a sensory representation, we hypothesized that subjects at different ages attribute different meanings to it when comparing durations; pre-kindergarten children compare the density of events, while adults use the concept of observer-independent absolute time. We asked groups of pre-kindergarteners, school-age children, and adults to compare the durations of an \"eventful\" and \"uneventful\" video, both 1-minute long but durations unknown to subjects. In addition, participants were asked to express the durations of both videos non-verbally with simple hand gestures. Statistical analysis has revealed highly polarized temporal biases in each group, where pre-kindergarteners estimated the duration of the eventful video as \"longer.\" In contrast, the school-age group of children and adults claimed the same about the uneventful video. The tendency to represent temporal durations with a horizontal hand gesture was evident among all three groups, with an increasing prevalence with age. These results support the hypothesis that pre-kindergarten-age children use heuristics to estimate time, and they convert from availability to sampling heuristics between pre-kindergarten and school age.","container-title":"Scientific Reports","DOI":"10.1038/s41598-023-27419-4","ISSN":"2045-2322","issue":"1","journalAbbreviation":"Sci Rep","language":"en","page":"1077","source":"DOI.org (Crossref)","title":"Children and adults rely on different heuristics for estimation of durations","volume":"13","author":[{"family":"Stojić","given":"Sandra"},{"family":"Topić","given":"Vanja"},{"family":"Nadasdy","given":"Zoltan"}],"issued":{"date-parts":[["2023",1,19]]}}}],"schema":"https://github.com/citation-style-language/schema/raw/master/csl-citation.json"} </w:instrText>
      </w:r>
      <w:r w:rsidR="001B7B63">
        <w:fldChar w:fldCharType="separate"/>
      </w:r>
      <w:r w:rsidR="006A07E3" w:rsidRPr="006A07E3">
        <w:rPr>
          <w:rFonts w:eastAsiaTheme="minorHAnsi"/>
          <w:lang w:val="es-MX" w:eastAsia="en-US"/>
          <w14:ligatures w14:val="standardContextual"/>
        </w:rPr>
        <w:t>(Stojić et al., 2023)</w:t>
      </w:r>
      <w:r w:rsidR="001B7B63">
        <w:fldChar w:fldCharType="end"/>
      </w:r>
      <w:r>
        <w:t>. Children can discriminate between different sizes, such as “small” vs “big”, learning gross differences, but then learning more precise magnitude scales. Initially, space, time, and numbers are learned by identifying the quantitative aspect of the stimulus and then, by categorization, establishing a metric and an advanced conceptual map as a system of magnitudes. Then, they would apply that magnitude system to abstract phenomena such as time, gesturing about duration or indicating that it was “big”, “large”, as with tangible objects. This is a perfect case for showing how the stimuli that are part of the same equivalence class or category can be functionally different based on their verbal context: After multiple training sessions, a person can learn real numbers by counting objects, and they can also learn them by sizing objects, or by counting the units of a metronome. Having the number with an object quantity, an object size, or a time scale can change an individual's response to that description, even when the unit of meaning remains unchanged.</w:t>
      </w:r>
    </w:p>
    <w:p w14:paraId="4B1CCDF5" w14:textId="57CE44EE" w:rsidR="009B7B54" w:rsidRDefault="009B7B54" w:rsidP="009B7B54">
      <w:pPr>
        <w:spacing w:line="360" w:lineRule="auto"/>
        <w:ind w:firstLine="709"/>
      </w:pPr>
      <w:r>
        <w:t xml:space="preserve">The ontogenetic process of describing time is also related to metaphor usage, in which authors have found that people talk about time, relating it to space and depicting temporal information specifically. How magnitudes are represented as a generalization of some cultural order to other aspects of life: For example, left-to-right bias can be supported by the reading/writing direction of most Western languages, by exposure to Cartesian arrangements, and by acquired references from adults. This way of conceiving time would treat it as an arbitrary aspect, concerned with counting events during an interval rather than discussing the interval in its own right. In this way, the time description and timing itself are highly sensitive to verbal descriptions, and it could be referred to different aspects; for example, related to the order of some specific events or related to the clock ticks’ numbers  during an event (Stojić et al., 2023). Of course, this is totally determined by the verbal community that teaches the individual how to count time, depending on the opportunities an individual has to name an interval, as </w:t>
      </w:r>
      <w:r>
        <w:lastRenderedPageBreak/>
        <w:t xml:space="preserve">“absolute” (a metric of pulse numbers) or relative to certain events. Temporal judgment duration usually starts with non-temporal concepts that respond to event sequences and then relates to the symbolic representation of time, such as clocks or calendars, and is typically obtained around age </w:t>
      </w:r>
      <w:r w:rsidR="006A07E3">
        <w:t xml:space="preserve">of eight years old </w:t>
      </w:r>
      <w:r w:rsidR="006A07E3">
        <w:fldChar w:fldCharType="begin"/>
      </w:r>
      <w:r w:rsidR="006A07E3">
        <w:instrText xml:space="preserve"> ADDIN ZOTERO_ITEM CSL_CITATION {"citationID":"tIK5sg9v","properties":{"formattedCitation":"(McCormack &amp; Hoerl, 2017)","plainCitation":"(McCormack &amp; Hoerl, 2017)","noteIndex":0},"citationItems":[{"id":9083,"uris":["http://zotero.org/users/11770822/items/HRZKD6Q5"],"itemData":{"id":9083,"type":"article-journal","abstract":"A new model of the development of temporal concepts is described that assumes that there are substantial changes in how children think about time in the early years. It is argued that there is a shift from understanding time in an event-dependent way to an event-independent understanding of time. Early in development, very young children are unable to think about locations in time independently of the events that occur at those locations. It is only with development that children begin to have a proper grasp of the distinction between past, present, and future, and represent time as linear and unidirectional. The model assumes that although children aged two to three years may categorize events differently depending on whether they lie in the past or the future, they may not be able to understand that whether an event is in the future or in the past is something that changes as time passes and varies with temporal perspective. Around four to five years, children understand how causality operates in time, and can grasp the systematic relations that obtain between different locations in time, which provides the basis for acquiring the conventional clock and calendar system.","container-title":"Timing &amp; Time Perception","DOI":"10.1163/22134468-00002094","ISSN":"2213-445X, 2213-4468","issue":"3-4","license":"http://creativecommons.org/licenses/by/4.0","page":"297-327","source":"DOI.org (Crossref)","title":"The Development of Temporal Concepts: Learning to Locate Events in Time","title-short":"The Development of Temporal Concepts","volume":"5","author":[{"family":"McCormack","given":"Teresa"},{"family":"Hoerl","given":"Christoph"}],"issued":{"date-parts":[["2017",12,8]]}}}],"schema":"https://github.com/citation-style-language/schema/raw/master/csl-citation.json"} </w:instrText>
      </w:r>
      <w:r w:rsidR="006A07E3">
        <w:fldChar w:fldCharType="separate"/>
      </w:r>
      <w:r w:rsidR="006A07E3">
        <w:rPr>
          <w:noProof/>
        </w:rPr>
        <w:t>(McCormack &amp; Hoerl, 2017)</w:t>
      </w:r>
      <w:r w:rsidR="006A07E3">
        <w:fldChar w:fldCharType="end"/>
      </w:r>
      <w:r w:rsidR="006A07E3">
        <w:t>.</w:t>
      </w:r>
    </w:p>
    <w:p w14:paraId="2B15FDEE" w14:textId="76536237" w:rsidR="009B7B54" w:rsidRDefault="009B7B54" w:rsidP="009B7B54">
      <w:pPr>
        <w:spacing w:line="360" w:lineRule="auto"/>
        <w:ind w:firstLine="709"/>
      </w:pPr>
      <w:r>
        <w:t xml:space="preserve">Also, when we try to assess the duration of an event, we are often affected by external information. The concept of temporal context refers to that dependence, to simultaneous events -information- about time, such as duration, frequency, synchrony information about other elements, and of previously or posteriorly stimulus -information- exposure related to the event. Studies on multiple timing have found that simultaneous timing information can produce an averaging or central-tendency effect, in which the perceived duration of the elements tends to be biased toward a general average </w:t>
      </w:r>
      <w:r w:rsidR="006A07E3">
        <w:fldChar w:fldCharType="begin"/>
      </w:r>
      <w:r w:rsidR="004E17AD">
        <w:instrText xml:space="preserve"> ADDIN ZOTERO_ITEM CSL_CITATION {"citationID":"gpD2oMod","properties":{"formattedCitation":"(Boned &amp; L\\uc0\\u243{}pez-Moliner, 2022)","plainCitation":"(Boned &amp; López-Moliner, 2022)","noteIndex":0},"citationItems":[{"id":9043,"uris":["http://zotero.org/users/11770822/items/5PGWWWDC"],"itemData":{"id":9043,"type":"article-journal","abstract":"Abstract\n            When we try to assess the duration of an event, we are often affected by external information. Studies on multiple timing have found that simultaneous timing information can produce an averaging or central tendency effect, where the perceived duration of the elements tends to be biased towards a general average. We wanted to assess how this effect induced by simultaneous distractors could depend on the temporal similarity between stimuli. We used a duration judgment task in which participants (n = 22) had to compare the duration of two identical targets (1 s) accompanied by simultaneous distractors of different durations (0.3, 0.7, 1.5 or 3 s). We found a central tendency effect, where duration judgments of the target were systematically biased towards the duration of the distractors that accompanied them. We put forward a model based on the concept of duration-channels that can explain the central tendency effect with only one estimated parameter. This parameter modulates the rate of decay of this effect as distractors duration become more different than the duration of the target.","container-title":"Scientific Reports","DOI":"10.1038/s41598-022-27168-w","ISSN":"2045-2322","issue":"1","journalAbbreviation":"Sci Rep","language":"en","page":"22575","source":"DOI.org (Crossref)","title":"Duration judgments are mediated by the similarity with the temporal context","volume":"12","author":[{"family":"Boned","given":"Jaume"},{"family":"López-Moliner","given":"Joan"}],"issued":{"date-parts":[["2022",12,30]]}}}],"schema":"https://github.com/citation-style-language/schema/raw/master/csl-citation.json"} </w:instrText>
      </w:r>
      <w:r w:rsidR="006A07E3">
        <w:fldChar w:fldCharType="separate"/>
      </w:r>
      <w:r w:rsidR="004E17AD" w:rsidRPr="004E17AD">
        <w:rPr>
          <w:rFonts w:eastAsiaTheme="minorHAnsi"/>
          <w:lang w:val="es-MX" w:eastAsia="en-US"/>
          <w14:ligatures w14:val="standardContextual"/>
        </w:rPr>
        <w:t>(Boned &amp; López-Moliner, 2022)</w:t>
      </w:r>
      <w:r w:rsidR="006A07E3">
        <w:fldChar w:fldCharType="end"/>
      </w:r>
      <w:r>
        <w:t xml:space="preserve">Temporal context also expresses the effects of verbal context on timing. Some researchers have found that, when given information on the size of the loan, monthly repayment amount, and interest rate, students who were informed of the amount of the monthly payment that covered interest change underestimated the time more, but this changed with larger payment and smaller duration </w:t>
      </w:r>
      <w:r w:rsidR="00F008C2">
        <w:fldChar w:fldCharType="begin"/>
      </w:r>
      <w:r w:rsidR="00F008C2">
        <w:instrText xml:space="preserve"> ADDIN ZOTERO_ITEM CSL_CITATION {"citationID":"PlQC8VaQ","properties":{"formattedCitation":"(Ranyard &amp; Craig, 1993)","plainCitation":"(Ranyard &amp; Craig, 1993)","noteIndex":0},"citationItems":[{"id":9117,"uris":["http://zotero.org/users/11770822/items/FT5FCJD2"],"itemData":{"id":9117,"type":"article-journal","container-title":"Journal of Economic Psychology","DOI":"10.1016/0167-4870(93)90005-6","ISSN":"01674870","issue":"2","journalAbbreviation":"Journal of Economic Psychology","language":"en","license":"https://www.elsevier.com/tdm/userlicense/1.0/","page":"317-335","source":"DOI.org (Crossref)","title":"Estimating the duration of a flexible loan: The effect of supplementary information","title-short":"Estimating the duration of a flexible loan","volume":"14","author":[{"family":"Ranyard","given":"Rob"},{"family":"Craig","given":"Gill"}],"issued":{"date-parts":[["1993",6]]}}}],"schema":"https://github.com/citation-style-language/schema/raw/master/csl-citation.json"} </w:instrText>
      </w:r>
      <w:r w:rsidR="00F008C2">
        <w:fldChar w:fldCharType="separate"/>
      </w:r>
      <w:r w:rsidR="00F008C2">
        <w:rPr>
          <w:noProof/>
        </w:rPr>
        <w:t>(Ranyard &amp; Craig, 1993)</w:t>
      </w:r>
      <w:r w:rsidR="00F008C2">
        <w:fldChar w:fldCharType="end"/>
      </w:r>
      <w:r w:rsidR="00F008C2">
        <w:t>.</w:t>
      </w:r>
      <w:r>
        <w:t xml:space="preserve"> Consistently, using a calculator makes students respond more accurately </w:t>
      </w:r>
      <w:r w:rsidR="00F008C2">
        <w:fldChar w:fldCharType="begin"/>
      </w:r>
      <w:r w:rsidR="00F008C2">
        <w:instrText xml:space="preserve"> ADDIN ZOTERO_ITEM CSL_CITATION {"citationID":"jClmnSUA","properties":{"formattedCitation":"(Overton &amp; MacFadyen, 1998)","plainCitation":"(Overton &amp; MacFadyen, 1998)","noteIndex":0},"citationItems":[{"id":9003,"uris":["http://zotero.org/users/11770822/items/AFHBGKJF"],"itemData":{"id":9003,"type":"article-journal","container-title":"Journal of Economic Psychology","DOI":"10.1016/S0167-4870(98)00027-0","ISSN":"01674870","issue":"5","journalAbbreviation":"Journal of Economic Psychology","language":"en","license":"https://www.elsevier.com/tdm/userlicense/1.0/","page":"607-618","source":"DOI.org (Crossref)","title":"Time discounting and the estimation of loan duration","volume":"19","author":[{"family":"Overton","given":"Annemarije A"},{"family":"MacFadyen","given":"Alan J"}],"issued":{"date-parts":[["1998",10]]}}}],"schema":"https://github.com/citation-style-language/schema/raw/master/csl-citation.json"} </w:instrText>
      </w:r>
      <w:r w:rsidR="00F008C2">
        <w:fldChar w:fldCharType="separate"/>
      </w:r>
      <w:r w:rsidR="00F008C2">
        <w:rPr>
          <w:noProof/>
        </w:rPr>
        <w:t>(Overton &amp; MacFadyen, 1998)</w:t>
      </w:r>
      <w:r w:rsidR="00F008C2">
        <w:fldChar w:fldCharType="end"/>
      </w:r>
      <w:r w:rsidR="00F008C2">
        <w:t xml:space="preserve">. </w:t>
      </w:r>
      <w:r>
        <w:t>If behavior related to a specific event duration can be affected by concurrent event durations, can event duration be affected by concurrent stimulus time? And can we assess how much those time stimuli, of course, verbal stimuli, affect time-dependent choice? If the temporal context includes all the temporal information in the same environment as an event that is to be responded to, does it include the verbal description of time?</w:t>
      </w:r>
    </w:p>
    <w:p w14:paraId="05BB69B5" w14:textId="77777777" w:rsidR="009B7B54" w:rsidRDefault="009B7B54" w:rsidP="009B7B54">
      <w:pPr>
        <w:spacing w:line="360" w:lineRule="auto"/>
        <w:ind w:firstLine="709"/>
      </w:pPr>
      <w:r>
        <w:t>The present study isolates whether changes in the temporal descriptions are sufficient to modify delay discounting. Specifically, we used absolute, ratio, and difference framings to describe delays across different grades of relativeness with respect to alternative options. These manipulations correspond to different autoclitic structures that can change stimulus control over choice descriptions. Thus, the present manipulation functions as a verbal analog of temporal context, allowing a direct test of whether relational versus absolute encoding of time, despite objective equivalence, produces systematic changes in intertemporal choice.</w:t>
      </w:r>
    </w:p>
    <w:p w14:paraId="01D2FADB" w14:textId="77777777" w:rsidR="009B7B54" w:rsidRDefault="009B7B54" w:rsidP="009B7B54">
      <w:pPr>
        <w:spacing w:line="360" w:lineRule="auto"/>
        <w:ind w:firstLine="709"/>
      </w:pPr>
      <w:r>
        <w:rPr>
          <w:b/>
          <w:bCs/>
        </w:rPr>
        <w:t>Method</w:t>
      </w:r>
    </w:p>
    <w:p w14:paraId="15EE5C95" w14:textId="77777777" w:rsidR="009B7B54" w:rsidRDefault="009B7B54" w:rsidP="009B7B54">
      <w:pPr>
        <w:spacing w:line="360" w:lineRule="auto"/>
        <w:ind w:firstLine="709"/>
      </w:pPr>
      <w:r>
        <w:rPr>
          <w:b/>
          <w:bCs/>
        </w:rPr>
        <w:t>Procedure</w:t>
      </w:r>
      <w:r>
        <w:br/>
        <w:t xml:space="preserve">The procedure consisted of verbal manipulations, described in the design, in a titration in which </w:t>
      </w:r>
      <w:r>
        <w:lastRenderedPageBreak/>
        <w:t xml:space="preserve">participants repeatedly chose between two options differing in the duration of access to a game. One option produced a longer gameplay period (19500ms), whereas the other produced a shorter one (65000ms). The game was a color-matching game (similar to Candy Crush), in which the player earned points by aligning three or more identical elements, increasing their score and level. </w:t>
      </w:r>
    </w:p>
    <w:p w14:paraId="74627C5F" w14:textId="77777777" w:rsidR="009B7B54" w:rsidRDefault="009B7B54" w:rsidP="009B7B54">
      <w:pPr>
        <w:spacing w:line="360" w:lineRule="auto"/>
        <w:ind w:firstLine="709"/>
      </w:pPr>
      <w:r>
        <w:t>The titration process operated on the delay associated with the larger outcome. Within each condition, the smaller delay was fixed in six conditions (500ms, 875ms, 1531ms, 2679ms, 4689ms, and 8203ms) while the delay to the larger option was initialized at three times the fixed value – for example, for the first trial of the fixed delay of the smaller option in 500ms, the larger one was established at 1500ms. On each free-choice trial, selecting the larger option increased its delay by a step size, whereas selecting the smaller option decreased it, with the constraint that the larger delay could not fall below the smaller delay. The step size was initially set to 500ms and was dynamically adjusted: if participants selected the larger option on two consecutive trials, the step size increased by 50% (up to a maximum of four times the fixed delay of the condition), accelerating adjustment under consistent preference. In contrast, when participants switched preference between consecutive trials, the step size was reduced by 2000ms, with a lower bound of 1000ms, producing a finer adjustment pattern around the indifference point.</w:t>
      </w:r>
    </w:p>
    <w:p w14:paraId="014A3ADB" w14:textId="77777777" w:rsidR="009B7B54" w:rsidRDefault="009B7B54" w:rsidP="009B7B54">
      <w:pPr>
        <w:spacing w:line="360" w:lineRule="auto"/>
        <w:ind w:firstLine="709"/>
      </w:pPr>
      <w:r>
        <w:t>Each condition began with two forced-choice trials (one per option), which exposed participants to both contingencies without modifying the delay values. After this, free-choice trials proceeded. Each fixed delay condition terminated according to three criteria: (a) when participants changed preference more than three times, provided that at least three free-choice trials had occurred; (b) when participants repeatedly selected the smaller option without changing preference more than six times; or (c) when a maximum of eight free-choice trials was reached.</w:t>
      </w:r>
    </w:p>
    <w:p w14:paraId="17C09E3B" w14:textId="77777777" w:rsidR="009B7B54" w:rsidRDefault="009B7B54" w:rsidP="009B7B54">
      <w:pPr>
        <w:spacing w:line="360" w:lineRule="auto"/>
        <w:ind w:firstLine="709"/>
      </w:pPr>
      <w:r>
        <w:rPr>
          <w:b/>
          <w:bCs/>
        </w:rPr>
        <w:t>Desing</w:t>
      </w:r>
    </w:p>
    <w:p w14:paraId="5382F987" w14:textId="77777777" w:rsidR="009B7B54" w:rsidRDefault="009B7B54" w:rsidP="009B7B54">
      <w:pPr>
        <w:spacing w:line="360" w:lineRule="auto"/>
        <w:ind w:firstLine="709"/>
      </w:pPr>
      <w:r>
        <w:t>Participants were assigned to one of four groups, each corresponding to a different framing manipulation. All groups experienced two conditions. In Condition 1, all participants were exposed to an absolute framing of the options. In Condition 2, the framing varied by group: the Control group received absolute framing again, whereas the other groups received difference, ratio, or relative framing, respectively.</w:t>
      </w:r>
    </w:p>
    <w:p w14:paraId="62AB88F2" w14:textId="77777777" w:rsidR="009B7B54" w:rsidRDefault="009B7B54" w:rsidP="009B7B54">
      <w:pPr>
        <w:spacing w:line="360" w:lineRule="auto"/>
        <w:ind w:firstLine="709"/>
      </w:pPr>
      <w:r>
        <w:lastRenderedPageBreak/>
        <w:t>In the absolute (basic) framing, options were presented in terms of explicit waiting times (in seconds) required to access the game: “Wait X seconds to play for longer” vs. “Wait Y seconds to play for less time”. In the ratio framing, the larger option was described as a multiple of the smaller delay, “Wait Z times longer to play for longer”, while the smaller option continued to be expressed in absolute time. In the difference framing, the larger option was expressed as the difference between the larger and the smaller delays, “Wait an additional Δ seconds to play for longer”, while the smaller option again remained in absolute terms.</w:t>
      </w:r>
    </w:p>
    <w:p w14:paraId="69B1866D" w14:textId="77777777" w:rsidR="009B7B54" w:rsidRDefault="009B7B54" w:rsidP="009B7B54">
      <w:pPr>
        <w:spacing w:line="360" w:lineRule="auto"/>
        <w:ind w:firstLine="709"/>
      </w:pPr>
      <w:r>
        <w:t>This manipulation altered only the verbal description of the temporal contingencies, without modifying the underlying delays or reinforcement durations. Thus, any observed differences in choice behavior can be attributed to the framing of temporal information rather than to changes in the task's objective structure. The control (test–retest) group was used to evaluate the temporal consistency of the task across two measurement occasions.</w:t>
      </w:r>
    </w:p>
    <w:p w14:paraId="5A7EED9F" w14:textId="77777777" w:rsidR="009B7B54" w:rsidRPr="000212E7" w:rsidRDefault="009B7B54" w:rsidP="009B7B54">
      <w:pPr>
        <w:spacing w:line="360" w:lineRule="auto"/>
        <w:ind w:firstLine="709"/>
        <w:rPr>
          <w:b/>
          <w:bCs/>
        </w:rPr>
      </w:pPr>
    </w:p>
    <w:p w14:paraId="330608BF" w14:textId="2F49C97F" w:rsidR="000212E7" w:rsidRPr="000212E7" w:rsidRDefault="000212E7" w:rsidP="009B7B54">
      <w:pPr>
        <w:spacing w:line="360" w:lineRule="auto"/>
        <w:ind w:firstLine="709"/>
        <w:rPr>
          <w:b/>
          <w:bCs/>
        </w:rPr>
      </w:pPr>
      <w:r w:rsidRPr="000212E7">
        <w:rPr>
          <w:b/>
          <w:bCs/>
        </w:rPr>
        <w:t>References</w:t>
      </w:r>
    </w:p>
    <w:p w14:paraId="4559FD74" w14:textId="77777777" w:rsidR="000212E7" w:rsidRDefault="000212E7" w:rsidP="000212E7">
      <w:pPr>
        <w:pStyle w:val="Bibliografa"/>
      </w:pPr>
    </w:p>
    <w:p w14:paraId="62AB5CE3" w14:textId="14D83445" w:rsidR="000212E7" w:rsidRPr="000212E7" w:rsidRDefault="000212E7" w:rsidP="000212E7">
      <w:pPr>
        <w:pStyle w:val="Bibliografa"/>
        <w:rPr>
          <w:rFonts w:eastAsiaTheme="minorHAnsi"/>
          <w:lang w:val="es-MX" w:eastAsia="en-US"/>
        </w:rPr>
      </w:pPr>
      <w:r>
        <w:fldChar w:fldCharType="begin"/>
      </w:r>
      <w:r>
        <w:instrText xml:space="preserve"> ADDIN ZOTERO_BIBL {"uncited":[],"omitted":[],"custom":[]} CSL_BIBLIOGRAPHY </w:instrText>
      </w:r>
      <w:r>
        <w:fldChar w:fldCharType="separate"/>
      </w:r>
      <w:r w:rsidRPr="000212E7">
        <w:rPr>
          <w:rFonts w:eastAsiaTheme="minorHAnsi"/>
          <w:lang w:val="es-MX" w:eastAsia="en-US"/>
        </w:rPr>
        <w:t xml:space="preserve">Arantes, J. (2008). Comparison of Scalar Expectancy Theory (SET) and the Learning-to-Time (LeT) model in a successive temporal bisection task. </w:t>
      </w:r>
      <w:r w:rsidRPr="000212E7">
        <w:rPr>
          <w:rFonts w:eastAsiaTheme="minorHAnsi"/>
          <w:i/>
          <w:iCs/>
          <w:lang w:val="es-MX" w:eastAsia="en-US"/>
        </w:rPr>
        <w:t>Behavioural Processes</w:t>
      </w:r>
      <w:r w:rsidRPr="000212E7">
        <w:rPr>
          <w:rFonts w:eastAsiaTheme="minorHAnsi"/>
          <w:lang w:val="es-MX" w:eastAsia="en-US"/>
        </w:rPr>
        <w:t xml:space="preserve">, </w:t>
      </w:r>
      <w:r w:rsidRPr="000212E7">
        <w:rPr>
          <w:rFonts w:eastAsiaTheme="minorHAnsi"/>
          <w:i/>
          <w:iCs/>
          <w:lang w:val="es-MX" w:eastAsia="en-US"/>
        </w:rPr>
        <w:t>78</w:t>
      </w:r>
      <w:r w:rsidRPr="000212E7">
        <w:rPr>
          <w:rFonts w:eastAsiaTheme="minorHAnsi"/>
          <w:lang w:val="es-MX" w:eastAsia="en-US"/>
        </w:rPr>
        <w:t>(2), 269–278. https://doi.org/10.1016/j.beproc.2007.12.008</w:t>
      </w:r>
    </w:p>
    <w:p w14:paraId="6317491A"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Asgarova, R., Macaskill, A. C., &amp; Hunt, M. J. (2020). Gain–Loss Asymmetry in Experiential Probability Discounting. </w:t>
      </w:r>
      <w:r w:rsidRPr="000212E7">
        <w:rPr>
          <w:rFonts w:eastAsiaTheme="minorHAnsi"/>
          <w:i/>
          <w:iCs/>
          <w:lang w:val="es-MX" w:eastAsia="en-US"/>
        </w:rPr>
        <w:t>Psychological Record</w:t>
      </w:r>
      <w:r w:rsidRPr="000212E7">
        <w:rPr>
          <w:rFonts w:eastAsiaTheme="minorHAnsi"/>
          <w:lang w:val="es-MX" w:eastAsia="en-US"/>
        </w:rPr>
        <w:t xml:space="preserve">, </w:t>
      </w:r>
      <w:r w:rsidRPr="000212E7">
        <w:rPr>
          <w:rFonts w:eastAsiaTheme="minorHAnsi"/>
          <w:i/>
          <w:iCs/>
          <w:lang w:val="es-MX" w:eastAsia="en-US"/>
        </w:rPr>
        <w:t>70</w:t>
      </w:r>
      <w:r w:rsidRPr="000212E7">
        <w:rPr>
          <w:rFonts w:eastAsiaTheme="minorHAnsi"/>
          <w:lang w:val="es-MX" w:eastAsia="en-US"/>
        </w:rPr>
        <w:t>(3), 359–371. Scopus. https://doi.org/10.1007/s40732-020-00379-1</w:t>
      </w:r>
    </w:p>
    <w:p w14:paraId="0F5C6615"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Barcelos Nomicos, L., Jacobs, K. W., &amp; Locey, M. L. (2020). The Effects of Obligatory and Preferential Frames on Delay Discounting. </w:t>
      </w:r>
      <w:r w:rsidRPr="000212E7">
        <w:rPr>
          <w:rFonts w:eastAsiaTheme="minorHAnsi"/>
          <w:i/>
          <w:iCs/>
          <w:lang w:val="es-MX" w:eastAsia="en-US"/>
        </w:rPr>
        <w:t>The Analysis of Verbal Behavior</w:t>
      </w:r>
      <w:r w:rsidRPr="000212E7">
        <w:rPr>
          <w:rFonts w:eastAsiaTheme="minorHAnsi"/>
          <w:lang w:val="es-MX" w:eastAsia="en-US"/>
        </w:rPr>
        <w:t xml:space="preserve">, </w:t>
      </w:r>
      <w:r w:rsidRPr="000212E7">
        <w:rPr>
          <w:rFonts w:eastAsiaTheme="minorHAnsi"/>
          <w:i/>
          <w:iCs/>
          <w:lang w:val="es-MX" w:eastAsia="en-US"/>
        </w:rPr>
        <w:t>36</w:t>
      </w:r>
      <w:r w:rsidRPr="000212E7">
        <w:rPr>
          <w:rFonts w:eastAsiaTheme="minorHAnsi"/>
          <w:lang w:val="es-MX" w:eastAsia="en-US"/>
        </w:rPr>
        <w:t>(1), 74–86. https://doi.org/10.1007/s40616-020-00127-0</w:t>
      </w:r>
    </w:p>
    <w:p w14:paraId="66C4DBDD"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Boned, J., &amp; López-Moliner, J. (2022). Duration judgments are mediated by the similarity with the temporal context. </w:t>
      </w:r>
      <w:r w:rsidRPr="000212E7">
        <w:rPr>
          <w:rFonts w:eastAsiaTheme="minorHAnsi"/>
          <w:i/>
          <w:iCs/>
          <w:lang w:val="es-MX" w:eastAsia="en-US"/>
        </w:rPr>
        <w:t>Scientific Reports</w:t>
      </w:r>
      <w:r w:rsidRPr="000212E7">
        <w:rPr>
          <w:rFonts w:eastAsiaTheme="minorHAnsi"/>
          <w:lang w:val="es-MX" w:eastAsia="en-US"/>
        </w:rPr>
        <w:t xml:space="preserve">, </w:t>
      </w:r>
      <w:r w:rsidRPr="000212E7">
        <w:rPr>
          <w:rFonts w:eastAsiaTheme="minorHAnsi"/>
          <w:i/>
          <w:iCs/>
          <w:lang w:val="es-MX" w:eastAsia="en-US"/>
        </w:rPr>
        <w:t>12</w:t>
      </w:r>
      <w:r w:rsidRPr="000212E7">
        <w:rPr>
          <w:rFonts w:eastAsiaTheme="minorHAnsi"/>
          <w:lang w:val="es-MX" w:eastAsia="en-US"/>
        </w:rPr>
        <w:t>(1), 22575. https://doi.org/10.1038/s41598-022-27168-w</w:t>
      </w:r>
    </w:p>
    <w:p w14:paraId="29339BE2"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lastRenderedPageBreak/>
        <w:t xml:space="preserve">Boroditsky, L. (2001). Does Language Shape Thought?: Mandarin and English Speakers’ Conceptions of Time. </w:t>
      </w:r>
      <w:r w:rsidRPr="000212E7">
        <w:rPr>
          <w:rFonts w:eastAsiaTheme="minorHAnsi"/>
          <w:i/>
          <w:iCs/>
          <w:lang w:val="es-MX" w:eastAsia="en-US"/>
        </w:rPr>
        <w:t>Cognitive Psychology</w:t>
      </w:r>
      <w:r w:rsidRPr="000212E7">
        <w:rPr>
          <w:rFonts w:eastAsiaTheme="minorHAnsi"/>
          <w:lang w:val="es-MX" w:eastAsia="en-US"/>
        </w:rPr>
        <w:t xml:space="preserve">, </w:t>
      </w:r>
      <w:r w:rsidRPr="000212E7">
        <w:rPr>
          <w:rFonts w:eastAsiaTheme="minorHAnsi"/>
          <w:i/>
          <w:iCs/>
          <w:lang w:val="es-MX" w:eastAsia="en-US"/>
        </w:rPr>
        <w:t>43</w:t>
      </w:r>
      <w:r w:rsidRPr="000212E7">
        <w:rPr>
          <w:rFonts w:eastAsiaTheme="minorHAnsi"/>
          <w:lang w:val="es-MX" w:eastAsia="en-US"/>
        </w:rPr>
        <w:t>(1), 1–22. https://doi.org/10.1006/cogp.2001.0748</w:t>
      </w:r>
    </w:p>
    <w:p w14:paraId="3BEFE479"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Casasanto, D., Boroditsky, L., &amp; Phillips, W. (2004). How deep are effects of language on thought? Time estimation in speakers of English, Indonesian, Greek, and Spanish. </w:t>
      </w:r>
      <w:r w:rsidRPr="000212E7">
        <w:rPr>
          <w:rFonts w:eastAsiaTheme="minorHAnsi"/>
          <w:i/>
          <w:iCs/>
          <w:lang w:val="es-MX" w:eastAsia="en-US"/>
        </w:rPr>
        <w:t>Phllips,</w:t>
      </w:r>
      <w:r w:rsidRPr="000212E7">
        <w:rPr>
          <w:rFonts w:eastAsiaTheme="minorHAnsi"/>
          <w:lang w:val="es-MX" w:eastAsia="en-US"/>
        </w:rPr>
        <w:t xml:space="preserve"> </w:t>
      </w:r>
      <w:r w:rsidRPr="000212E7">
        <w:rPr>
          <w:rFonts w:eastAsiaTheme="minorHAnsi"/>
          <w:i/>
          <w:iCs/>
          <w:lang w:val="es-MX" w:eastAsia="en-US"/>
        </w:rPr>
        <w:t>26</w:t>
      </w:r>
      <w:r w:rsidRPr="000212E7">
        <w:rPr>
          <w:rFonts w:eastAsiaTheme="minorHAnsi"/>
          <w:lang w:val="es-MX" w:eastAsia="en-US"/>
        </w:rPr>
        <w:t>(26).</w:t>
      </w:r>
    </w:p>
    <w:p w14:paraId="7D1CD8B6"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DeHart, W. B., &amp; Odum, A. L. (2015). The effects of the framing of time on delay discounting. </w:t>
      </w:r>
      <w:r w:rsidRPr="000212E7">
        <w:rPr>
          <w:rFonts w:eastAsiaTheme="minorHAnsi"/>
          <w:i/>
          <w:iCs/>
          <w:lang w:val="es-MX" w:eastAsia="en-US"/>
        </w:rPr>
        <w:t>Journal of the Experimental Analysis of Behavior</w:t>
      </w:r>
      <w:r w:rsidRPr="000212E7">
        <w:rPr>
          <w:rFonts w:eastAsiaTheme="minorHAnsi"/>
          <w:lang w:val="es-MX" w:eastAsia="en-US"/>
        </w:rPr>
        <w:t xml:space="preserve">, </w:t>
      </w:r>
      <w:r w:rsidRPr="000212E7">
        <w:rPr>
          <w:rFonts w:eastAsiaTheme="minorHAnsi"/>
          <w:i/>
          <w:iCs/>
          <w:lang w:val="es-MX" w:eastAsia="en-US"/>
        </w:rPr>
        <w:t>103</w:t>
      </w:r>
      <w:r w:rsidRPr="000212E7">
        <w:rPr>
          <w:rFonts w:eastAsiaTheme="minorHAnsi"/>
          <w:lang w:val="es-MX" w:eastAsia="en-US"/>
        </w:rPr>
        <w:t>(1), 10–21. https://doi.org/10.1002/jeab.125</w:t>
      </w:r>
    </w:p>
    <w:p w14:paraId="56B2A764"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Frederick, S., Loewenstein, G., &amp; O’donoghue, T. (2002). Time Discounting and Time Preference: A Critical Review. </w:t>
      </w:r>
      <w:r w:rsidRPr="000212E7">
        <w:rPr>
          <w:rFonts w:eastAsiaTheme="minorHAnsi"/>
          <w:i/>
          <w:iCs/>
          <w:lang w:val="es-MX" w:eastAsia="en-US"/>
        </w:rPr>
        <w:t>Journal of Economic Literature</w:t>
      </w:r>
      <w:r w:rsidRPr="000212E7">
        <w:rPr>
          <w:rFonts w:eastAsiaTheme="minorHAnsi"/>
          <w:lang w:val="es-MX" w:eastAsia="en-US"/>
        </w:rPr>
        <w:t xml:space="preserve">, </w:t>
      </w:r>
      <w:r w:rsidRPr="000212E7">
        <w:rPr>
          <w:rFonts w:eastAsiaTheme="minorHAnsi"/>
          <w:i/>
          <w:iCs/>
          <w:lang w:val="es-MX" w:eastAsia="en-US"/>
        </w:rPr>
        <w:t>40</w:t>
      </w:r>
      <w:r w:rsidRPr="000212E7">
        <w:rPr>
          <w:rFonts w:eastAsiaTheme="minorHAnsi"/>
          <w:lang w:val="es-MX" w:eastAsia="en-US"/>
        </w:rPr>
        <w:t>(2), 351–401. https://doi.org/10.1257/jel.40.2.351</w:t>
      </w:r>
    </w:p>
    <w:p w14:paraId="1ECC891D"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Fuchs, V. (1982). Time Preference and Health: An Exploratory Study. In </w:t>
      </w:r>
      <w:r w:rsidRPr="000212E7">
        <w:rPr>
          <w:rFonts w:eastAsiaTheme="minorHAnsi"/>
          <w:i/>
          <w:iCs/>
          <w:lang w:val="es-MX" w:eastAsia="en-US"/>
        </w:rPr>
        <w:t>Economic Aspects of Health</w:t>
      </w:r>
      <w:r w:rsidRPr="000212E7">
        <w:rPr>
          <w:rFonts w:eastAsiaTheme="minorHAnsi"/>
          <w:lang w:val="es-MX" w:eastAsia="en-US"/>
        </w:rPr>
        <w:t xml:space="preserve"> (pp. 93–120). University of Chicago Press.</w:t>
      </w:r>
    </w:p>
    <w:p w14:paraId="27B4D296"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Furrebøe, E. F. (2020). The sign effect, systematic devaluations and zero discounting. </w:t>
      </w:r>
      <w:r w:rsidRPr="000212E7">
        <w:rPr>
          <w:rFonts w:eastAsiaTheme="minorHAnsi"/>
          <w:i/>
          <w:iCs/>
          <w:lang w:val="es-MX" w:eastAsia="en-US"/>
        </w:rPr>
        <w:t>Journal of the Experimental Analysis of Behavior</w:t>
      </w:r>
      <w:r w:rsidRPr="000212E7">
        <w:rPr>
          <w:rFonts w:eastAsiaTheme="minorHAnsi"/>
          <w:lang w:val="es-MX" w:eastAsia="en-US"/>
        </w:rPr>
        <w:t xml:space="preserve">, </w:t>
      </w:r>
      <w:r w:rsidRPr="000212E7">
        <w:rPr>
          <w:rFonts w:eastAsiaTheme="minorHAnsi"/>
          <w:i/>
          <w:iCs/>
          <w:lang w:val="es-MX" w:eastAsia="en-US"/>
        </w:rPr>
        <w:t>113</w:t>
      </w:r>
      <w:r w:rsidRPr="000212E7">
        <w:rPr>
          <w:rFonts w:eastAsiaTheme="minorHAnsi"/>
          <w:lang w:val="es-MX" w:eastAsia="en-US"/>
        </w:rPr>
        <w:t>(3), 626–643. Scopus. https://doi.org/10.1002/jeab.598</w:t>
      </w:r>
    </w:p>
    <w:p w14:paraId="5EFF8F0B"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Horne, P. J., &amp; Lowe, C. F. (1996). On the origins of naming and other symbolic behavior. </w:t>
      </w:r>
      <w:r w:rsidRPr="000212E7">
        <w:rPr>
          <w:rFonts w:eastAsiaTheme="minorHAnsi"/>
          <w:i/>
          <w:iCs/>
          <w:lang w:val="es-MX" w:eastAsia="en-US"/>
        </w:rPr>
        <w:t>Journal of the Experimental Analysis of Behavior</w:t>
      </w:r>
      <w:r w:rsidRPr="000212E7">
        <w:rPr>
          <w:rFonts w:eastAsiaTheme="minorHAnsi"/>
          <w:lang w:val="es-MX" w:eastAsia="en-US"/>
        </w:rPr>
        <w:t xml:space="preserve">, </w:t>
      </w:r>
      <w:r w:rsidRPr="000212E7">
        <w:rPr>
          <w:rFonts w:eastAsiaTheme="minorHAnsi"/>
          <w:i/>
          <w:iCs/>
          <w:lang w:val="es-MX" w:eastAsia="en-US"/>
        </w:rPr>
        <w:t>65</w:t>
      </w:r>
      <w:r w:rsidRPr="000212E7">
        <w:rPr>
          <w:rFonts w:eastAsiaTheme="minorHAnsi"/>
          <w:lang w:val="es-MX" w:eastAsia="en-US"/>
        </w:rPr>
        <w:t>(1), 185–241.</w:t>
      </w:r>
    </w:p>
    <w:p w14:paraId="0D1F8EF0"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Klapproth, F. (2012). The date-delay framing effect in temporal discounting depends on substance abuse. </w:t>
      </w:r>
      <w:r w:rsidRPr="000212E7">
        <w:rPr>
          <w:rFonts w:eastAsiaTheme="minorHAnsi"/>
          <w:i/>
          <w:iCs/>
          <w:lang w:val="es-MX" w:eastAsia="en-US"/>
        </w:rPr>
        <w:t>Behavioural Processes</w:t>
      </w:r>
      <w:r w:rsidRPr="000212E7">
        <w:rPr>
          <w:rFonts w:eastAsiaTheme="minorHAnsi"/>
          <w:lang w:val="es-MX" w:eastAsia="en-US"/>
        </w:rPr>
        <w:t xml:space="preserve">, </w:t>
      </w:r>
      <w:r w:rsidRPr="000212E7">
        <w:rPr>
          <w:rFonts w:eastAsiaTheme="minorHAnsi"/>
          <w:i/>
          <w:iCs/>
          <w:lang w:val="es-MX" w:eastAsia="en-US"/>
        </w:rPr>
        <w:t>90</w:t>
      </w:r>
      <w:r w:rsidRPr="000212E7">
        <w:rPr>
          <w:rFonts w:eastAsiaTheme="minorHAnsi"/>
          <w:lang w:val="es-MX" w:eastAsia="en-US"/>
        </w:rPr>
        <w:t>(3), 420–423. https://doi.org/10.1016/j.beproc.2012.03.013</w:t>
      </w:r>
    </w:p>
    <w:p w14:paraId="0EBB3CEC"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lastRenderedPageBreak/>
        <w:t xml:space="preserve">LeBoeuf, R. A., &amp; Shafir, E. (2006). The long and short of it: Physical anchoring effects. </w:t>
      </w:r>
      <w:r w:rsidRPr="000212E7">
        <w:rPr>
          <w:rFonts w:eastAsiaTheme="minorHAnsi"/>
          <w:i/>
          <w:iCs/>
          <w:lang w:val="es-MX" w:eastAsia="en-US"/>
        </w:rPr>
        <w:t>Journal of Behavioral Decision Making</w:t>
      </w:r>
      <w:r w:rsidRPr="000212E7">
        <w:rPr>
          <w:rFonts w:eastAsiaTheme="minorHAnsi"/>
          <w:lang w:val="es-MX" w:eastAsia="en-US"/>
        </w:rPr>
        <w:t xml:space="preserve">, </w:t>
      </w:r>
      <w:r w:rsidRPr="000212E7">
        <w:rPr>
          <w:rFonts w:eastAsiaTheme="minorHAnsi"/>
          <w:i/>
          <w:iCs/>
          <w:lang w:val="es-MX" w:eastAsia="en-US"/>
        </w:rPr>
        <w:t>19</w:t>
      </w:r>
      <w:r w:rsidRPr="000212E7">
        <w:rPr>
          <w:rFonts w:eastAsiaTheme="minorHAnsi"/>
          <w:lang w:val="es-MX" w:eastAsia="en-US"/>
        </w:rPr>
        <w:t>(4), 393–406. https://doi.org/10.1002/bdm.535</w:t>
      </w:r>
    </w:p>
    <w:p w14:paraId="401CD1E5"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Loewenstein, G. F., &amp; Prelec, D. (1993). Preferences for sequences of outcomes. </w:t>
      </w:r>
      <w:r w:rsidRPr="000212E7">
        <w:rPr>
          <w:rFonts w:eastAsiaTheme="minorHAnsi"/>
          <w:i/>
          <w:iCs/>
          <w:lang w:val="es-MX" w:eastAsia="en-US"/>
        </w:rPr>
        <w:t>Psychological Review</w:t>
      </w:r>
      <w:r w:rsidRPr="000212E7">
        <w:rPr>
          <w:rFonts w:eastAsiaTheme="minorHAnsi"/>
          <w:lang w:val="es-MX" w:eastAsia="en-US"/>
        </w:rPr>
        <w:t xml:space="preserve">, </w:t>
      </w:r>
      <w:r w:rsidRPr="000212E7">
        <w:rPr>
          <w:rFonts w:eastAsiaTheme="minorHAnsi"/>
          <w:i/>
          <w:iCs/>
          <w:lang w:val="es-MX" w:eastAsia="en-US"/>
        </w:rPr>
        <w:t>100</w:t>
      </w:r>
      <w:r w:rsidRPr="000212E7">
        <w:rPr>
          <w:rFonts w:eastAsiaTheme="minorHAnsi"/>
          <w:lang w:val="es-MX" w:eastAsia="en-US"/>
        </w:rPr>
        <w:t>(1), 91–108. https://doi.org/10.1037/0033-295X.100.1.91</w:t>
      </w:r>
    </w:p>
    <w:p w14:paraId="2CAD25D2"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Machado, A., &amp; Keen, R. (1999). Learning to Time (LET) or Scalar Expectancy Theory (SET)? A Critical Test of Two Models of Timing. </w:t>
      </w:r>
      <w:r w:rsidRPr="000212E7">
        <w:rPr>
          <w:rFonts w:eastAsiaTheme="minorHAnsi"/>
          <w:i/>
          <w:iCs/>
          <w:lang w:val="es-MX" w:eastAsia="en-US"/>
        </w:rPr>
        <w:t>Psychological Science</w:t>
      </w:r>
      <w:r w:rsidRPr="000212E7">
        <w:rPr>
          <w:rFonts w:eastAsiaTheme="minorHAnsi"/>
          <w:lang w:val="es-MX" w:eastAsia="en-US"/>
        </w:rPr>
        <w:t xml:space="preserve">, </w:t>
      </w:r>
      <w:r w:rsidRPr="000212E7">
        <w:rPr>
          <w:rFonts w:eastAsiaTheme="minorHAnsi"/>
          <w:i/>
          <w:iCs/>
          <w:lang w:val="es-MX" w:eastAsia="en-US"/>
        </w:rPr>
        <w:t>10</w:t>
      </w:r>
      <w:r w:rsidRPr="000212E7">
        <w:rPr>
          <w:rFonts w:eastAsiaTheme="minorHAnsi"/>
          <w:lang w:val="es-MX" w:eastAsia="en-US"/>
        </w:rPr>
        <w:t>(3), 285–290. https://doi.org/10.1111/1467-9280.00152</w:t>
      </w:r>
    </w:p>
    <w:p w14:paraId="0990A4C9"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Magen, E., Dweck, C. S., &amp; Gross, J. J. (2008). The Hidden-Zero Effect: Representing a Single Choice as an Extended Sequence Reduces Impulsive Choice. </w:t>
      </w:r>
      <w:r w:rsidRPr="000212E7">
        <w:rPr>
          <w:rFonts w:eastAsiaTheme="minorHAnsi"/>
          <w:i/>
          <w:iCs/>
          <w:lang w:val="es-MX" w:eastAsia="en-US"/>
        </w:rPr>
        <w:t>Psychological Science</w:t>
      </w:r>
      <w:r w:rsidRPr="000212E7">
        <w:rPr>
          <w:rFonts w:eastAsiaTheme="minorHAnsi"/>
          <w:lang w:val="es-MX" w:eastAsia="en-US"/>
        </w:rPr>
        <w:t xml:space="preserve">, </w:t>
      </w:r>
      <w:r w:rsidRPr="000212E7">
        <w:rPr>
          <w:rFonts w:eastAsiaTheme="minorHAnsi"/>
          <w:i/>
          <w:iCs/>
          <w:lang w:val="es-MX" w:eastAsia="en-US"/>
        </w:rPr>
        <w:t>19</w:t>
      </w:r>
      <w:r w:rsidRPr="000212E7">
        <w:rPr>
          <w:rFonts w:eastAsiaTheme="minorHAnsi"/>
          <w:lang w:val="es-MX" w:eastAsia="en-US"/>
        </w:rPr>
        <w:t>(7), 648–649. https://doi.org/10.1111/j.1467-9280.2008.02137.x</w:t>
      </w:r>
    </w:p>
    <w:p w14:paraId="0D0E6F0A"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McCormack, T., &amp; Hoerl, C. (2017). The Development of Temporal Concepts: Learning to Locate Events in Time. </w:t>
      </w:r>
      <w:r w:rsidRPr="000212E7">
        <w:rPr>
          <w:rFonts w:eastAsiaTheme="minorHAnsi"/>
          <w:i/>
          <w:iCs/>
          <w:lang w:val="es-MX" w:eastAsia="en-US"/>
        </w:rPr>
        <w:t>Timing &amp; Time Perception</w:t>
      </w:r>
      <w:r w:rsidRPr="000212E7">
        <w:rPr>
          <w:rFonts w:eastAsiaTheme="minorHAnsi"/>
          <w:lang w:val="es-MX" w:eastAsia="en-US"/>
        </w:rPr>
        <w:t xml:space="preserve">, </w:t>
      </w:r>
      <w:r w:rsidRPr="000212E7">
        <w:rPr>
          <w:rFonts w:eastAsiaTheme="minorHAnsi"/>
          <w:i/>
          <w:iCs/>
          <w:lang w:val="es-MX" w:eastAsia="en-US"/>
        </w:rPr>
        <w:t>5</w:t>
      </w:r>
      <w:r w:rsidRPr="000212E7">
        <w:rPr>
          <w:rFonts w:eastAsiaTheme="minorHAnsi"/>
          <w:lang w:val="es-MX" w:eastAsia="en-US"/>
        </w:rPr>
        <w:t>(3–4), 297–327. https://doi.org/10.1163/22134468-00002094</w:t>
      </w:r>
    </w:p>
    <w:p w14:paraId="7DC69910"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Overton, A. A., &amp; MacFadyen, A. J. (1998). Time discounting and the estimation of loan duration. </w:t>
      </w:r>
      <w:r w:rsidRPr="000212E7">
        <w:rPr>
          <w:rFonts w:eastAsiaTheme="minorHAnsi"/>
          <w:i/>
          <w:iCs/>
          <w:lang w:val="es-MX" w:eastAsia="en-US"/>
        </w:rPr>
        <w:t>Journal of Economic Psychology</w:t>
      </w:r>
      <w:r w:rsidRPr="000212E7">
        <w:rPr>
          <w:rFonts w:eastAsiaTheme="minorHAnsi"/>
          <w:lang w:val="es-MX" w:eastAsia="en-US"/>
        </w:rPr>
        <w:t xml:space="preserve">, </w:t>
      </w:r>
      <w:r w:rsidRPr="000212E7">
        <w:rPr>
          <w:rFonts w:eastAsiaTheme="minorHAnsi"/>
          <w:i/>
          <w:iCs/>
          <w:lang w:val="es-MX" w:eastAsia="en-US"/>
        </w:rPr>
        <w:t>19</w:t>
      </w:r>
      <w:r w:rsidRPr="000212E7">
        <w:rPr>
          <w:rFonts w:eastAsiaTheme="minorHAnsi"/>
          <w:lang w:val="es-MX" w:eastAsia="en-US"/>
        </w:rPr>
        <w:t>(5), 607–618. https://doi.org/10.1016/S0167-4870(98)00027-0</w:t>
      </w:r>
    </w:p>
    <w:p w14:paraId="46EAF120"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Palmer, D. C. (2007). Verbal Behavior: What is the Function of Structure? </w:t>
      </w:r>
      <w:r w:rsidRPr="000212E7">
        <w:rPr>
          <w:rFonts w:eastAsiaTheme="minorHAnsi"/>
          <w:i/>
          <w:iCs/>
          <w:lang w:val="es-MX" w:eastAsia="en-US"/>
        </w:rPr>
        <w:t>European Journal of Behavior Analysis</w:t>
      </w:r>
      <w:r w:rsidRPr="000212E7">
        <w:rPr>
          <w:rFonts w:eastAsiaTheme="minorHAnsi"/>
          <w:lang w:val="es-MX" w:eastAsia="en-US"/>
        </w:rPr>
        <w:t xml:space="preserve">, </w:t>
      </w:r>
      <w:r w:rsidRPr="000212E7">
        <w:rPr>
          <w:rFonts w:eastAsiaTheme="minorHAnsi"/>
          <w:i/>
          <w:iCs/>
          <w:lang w:val="es-MX" w:eastAsia="en-US"/>
        </w:rPr>
        <w:t>8</w:t>
      </w:r>
      <w:r w:rsidRPr="000212E7">
        <w:rPr>
          <w:rFonts w:eastAsiaTheme="minorHAnsi"/>
          <w:lang w:val="es-MX" w:eastAsia="en-US"/>
        </w:rPr>
        <w:t>(2), 161–175. https://doi.org/10.1080/15021149.2007.11434280</w:t>
      </w:r>
    </w:p>
    <w:p w14:paraId="3E312B45"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Place, U. T. (1998). Sentence and Sentence Structure in the Analysis of Verbal Behavior. </w:t>
      </w:r>
      <w:r w:rsidRPr="000212E7">
        <w:rPr>
          <w:rFonts w:eastAsiaTheme="minorHAnsi"/>
          <w:i/>
          <w:iCs/>
          <w:lang w:val="es-MX" w:eastAsia="en-US"/>
        </w:rPr>
        <w:t>The Analysis of Verbal Behavior</w:t>
      </w:r>
      <w:r w:rsidRPr="000212E7">
        <w:rPr>
          <w:rFonts w:eastAsiaTheme="minorHAnsi"/>
          <w:lang w:val="es-MX" w:eastAsia="en-US"/>
        </w:rPr>
        <w:t xml:space="preserve">, </w:t>
      </w:r>
      <w:r w:rsidRPr="000212E7">
        <w:rPr>
          <w:rFonts w:eastAsiaTheme="minorHAnsi"/>
          <w:i/>
          <w:iCs/>
          <w:lang w:val="es-MX" w:eastAsia="en-US"/>
        </w:rPr>
        <w:t>15</w:t>
      </w:r>
      <w:r w:rsidRPr="000212E7">
        <w:rPr>
          <w:rFonts w:eastAsiaTheme="minorHAnsi"/>
          <w:lang w:val="es-MX" w:eastAsia="en-US"/>
        </w:rPr>
        <w:t>(1), 131–133. https://doi.org/10.1007/BF03392935</w:t>
      </w:r>
    </w:p>
    <w:p w14:paraId="7F55DD50"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Ranyard, R., &amp; Craig, G. (1993). Estimating the duration of a flexible loan: The effect of supplementary information. </w:t>
      </w:r>
      <w:r w:rsidRPr="000212E7">
        <w:rPr>
          <w:rFonts w:eastAsiaTheme="minorHAnsi"/>
          <w:i/>
          <w:iCs/>
          <w:lang w:val="es-MX" w:eastAsia="en-US"/>
        </w:rPr>
        <w:t>Journal of Economic Psychology</w:t>
      </w:r>
      <w:r w:rsidRPr="000212E7">
        <w:rPr>
          <w:rFonts w:eastAsiaTheme="minorHAnsi"/>
          <w:lang w:val="es-MX" w:eastAsia="en-US"/>
        </w:rPr>
        <w:t xml:space="preserve">, </w:t>
      </w:r>
      <w:r w:rsidRPr="000212E7">
        <w:rPr>
          <w:rFonts w:eastAsiaTheme="minorHAnsi"/>
          <w:i/>
          <w:iCs/>
          <w:lang w:val="es-MX" w:eastAsia="en-US"/>
        </w:rPr>
        <w:t>14</w:t>
      </w:r>
      <w:r w:rsidRPr="000212E7">
        <w:rPr>
          <w:rFonts w:eastAsiaTheme="minorHAnsi"/>
          <w:lang w:val="es-MX" w:eastAsia="en-US"/>
        </w:rPr>
        <w:t>(2), 317–335. https://doi.org/10.1016/0167-4870(93)90005-6</w:t>
      </w:r>
    </w:p>
    <w:p w14:paraId="1C1851CE"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lastRenderedPageBreak/>
        <w:t xml:space="preserve">Sidman, M. (1994). </w:t>
      </w:r>
      <w:r w:rsidRPr="000212E7">
        <w:rPr>
          <w:rFonts w:eastAsiaTheme="minorHAnsi"/>
          <w:i/>
          <w:iCs/>
          <w:lang w:val="es-MX" w:eastAsia="en-US"/>
        </w:rPr>
        <w:t>Equivalence Relations and Behavior: A research story</w:t>
      </w:r>
      <w:r w:rsidRPr="000212E7">
        <w:rPr>
          <w:rFonts w:eastAsiaTheme="minorHAnsi"/>
          <w:lang w:val="es-MX" w:eastAsia="en-US"/>
        </w:rPr>
        <w:t>. Authors Cooperative.</w:t>
      </w:r>
    </w:p>
    <w:p w14:paraId="6C071C88"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Skinner, B. F. (1957). </w:t>
      </w:r>
      <w:r w:rsidRPr="000212E7">
        <w:rPr>
          <w:rFonts w:eastAsiaTheme="minorHAnsi"/>
          <w:i/>
          <w:iCs/>
          <w:lang w:val="es-MX" w:eastAsia="en-US"/>
        </w:rPr>
        <w:t>Verbal behavior</w:t>
      </w:r>
      <w:r w:rsidRPr="000212E7">
        <w:rPr>
          <w:rFonts w:eastAsiaTheme="minorHAnsi"/>
          <w:lang w:val="es-MX" w:eastAsia="en-US"/>
        </w:rPr>
        <w:t xml:space="preserve"> (R. Elliot, Ed.; Vol. 1). Appleton Century Crofts Inc.</w:t>
      </w:r>
    </w:p>
    <w:p w14:paraId="67DE7F4C"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Spínola, I., Machado, A., De Carvalho, M. P., &amp; Tonneau, F. (2013). What do humans learn in a double, temporal bisection task: Absolute or relative stimulus durations? </w:t>
      </w:r>
      <w:r w:rsidRPr="000212E7">
        <w:rPr>
          <w:rFonts w:eastAsiaTheme="minorHAnsi"/>
          <w:i/>
          <w:iCs/>
          <w:lang w:val="es-MX" w:eastAsia="en-US"/>
        </w:rPr>
        <w:t>Behavioural Processes</w:t>
      </w:r>
      <w:r w:rsidRPr="000212E7">
        <w:rPr>
          <w:rFonts w:eastAsiaTheme="minorHAnsi"/>
          <w:lang w:val="es-MX" w:eastAsia="en-US"/>
        </w:rPr>
        <w:t xml:space="preserve">, </w:t>
      </w:r>
      <w:r w:rsidRPr="000212E7">
        <w:rPr>
          <w:rFonts w:eastAsiaTheme="minorHAnsi"/>
          <w:i/>
          <w:iCs/>
          <w:lang w:val="es-MX" w:eastAsia="en-US"/>
        </w:rPr>
        <w:t>95</w:t>
      </w:r>
      <w:r w:rsidRPr="000212E7">
        <w:rPr>
          <w:rFonts w:eastAsiaTheme="minorHAnsi"/>
          <w:lang w:val="es-MX" w:eastAsia="en-US"/>
        </w:rPr>
        <w:t>, 40–49. https://doi.org/10.1016/j.beproc.2013.01.003</w:t>
      </w:r>
    </w:p>
    <w:p w14:paraId="5DC6640B"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Stemmer, N. (1980). Natural Concepts and Generalization Classes. </w:t>
      </w:r>
      <w:r w:rsidRPr="000212E7">
        <w:rPr>
          <w:rFonts w:eastAsiaTheme="minorHAnsi"/>
          <w:i/>
          <w:iCs/>
          <w:lang w:val="es-MX" w:eastAsia="en-US"/>
        </w:rPr>
        <w:t>The Behavior Analyst</w:t>
      </w:r>
      <w:r w:rsidRPr="000212E7">
        <w:rPr>
          <w:rFonts w:eastAsiaTheme="minorHAnsi"/>
          <w:lang w:val="es-MX" w:eastAsia="en-US"/>
        </w:rPr>
        <w:t xml:space="preserve">, </w:t>
      </w:r>
      <w:r w:rsidRPr="000212E7">
        <w:rPr>
          <w:rFonts w:eastAsiaTheme="minorHAnsi"/>
          <w:i/>
          <w:iCs/>
          <w:lang w:val="es-MX" w:eastAsia="en-US"/>
        </w:rPr>
        <w:t>3</w:t>
      </w:r>
      <w:r w:rsidRPr="000212E7">
        <w:rPr>
          <w:rFonts w:eastAsiaTheme="minorHAnsi"/>
          <w:lang w:val="es-MX" w:eastAsia="en-US"/>
        </w:rPr>
        <w:t>(2), 41–48. https://doi.org/10.1007/BF03391841</w:t>
      </w:r>
    </w:p>
    <w:p w14:paraId="1EF8E73E"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Stojić, S., Topić, V., &amp; Nadasdy, Z. (2023). Children and adults rely on different heuristics for estimation of durations. </w:t>
      </w:r>
      <w:r w:rsidRPr="000212E7">
        <w:rPr>
          <w:rFonts w:eastAsiaTheme="minorHAnsi"/>
          <w:i/>
          <w:iCs/>
          <w:lang w:val="es-MX" w:eastAsia="en-US"/>
        </w:rPr>
        <w:t>Scientific Reports</w:t>
      </w:r>
      <w:r w:rsidRPr="000212E7">
        <w:rPr>
          <w:rFonts w:eastAsiaTheme="minorHAnsi"/>
          <w:lang w:val="es-MX" w:eastAsia="en-US"/>
        </w:rPr>
        <w:t xml:space="preserve">, </w:t>
      </w:r>
      <w:r w:rsidRPr="000212E7">
        <w:rPr>
          <w:rFonts w:eastAsiaTheme="minorHAnsi"/>
          <w:i/>
          <w:iCs/>
          <w:lang w:val="es-MX" w:eastAsia="en-US"/>
        </w:rPr>
        <w:t>13</w:t>
      </w:r>
      <w:r w:rsidRPr="000212E7">
        <w:rPr>
          <w:rFonts w:eastAsiaTheme="minorHAnsi"/>
          <w:lang w:val="es-MX" w:eastAsia="en-US"/>
        </w:rPr>
        <w:t>(1), 1077. https://doi.org/10.1038/s41598-023-27419-4</w:t>
      </w:r>
    </w:p>
    <w:p w14:paraId="4DCC08EB" w14:textId="77777777" w:rsidR="000212E7" w:rsidRPr="000212E7" w:rsidRDefault="000212E7" w:rsidP="000212E7">
      <w:pPr>
        <w:pStyle w:val="Bibliografa"/>
        <w:rPr>
          <w:rFonts w:eastAsiaTheme="minorHAnsi"/>
          <w:lang w:val="es-MX" w:eastAsia="en-US"/>
        </w:rPr>
      </w:pPr>
      <w:r w:rsidRPr="000212E7">
        <w:rPr>
          <w:rFonts w:eastAsiaTheme="minorHAnsi"/>
          <w:lang w:val="es-MX" w:eastAsia="en-US"/>
        </w:rPr>
        <w:t xml:space="preserve">Tversky, A., &amp; Kahneman, D. (1981). The Framing of Decisions and the Psychology of Choice. </w:t>
      </w:r>
      <w:r w:rsidRPr="000212E7">
        <w:rPr>
          <w:rFonts w:eastAsiaTheme="minorHAnsi"/>
          <w:i/>
          <w:iCs/>
          <w:lang w:val="es-MX" w:eastAsia="en-US"/>
        </w:rPr>
        <w:t>Science</w:t>
      </w:r>
      <w:r w:rsidRPr="000212E7">
        <w:rPr>
          <w:rFonts w:eastAsiaTheme="minorHAnsi"/>
          <w:lang w:val="es-MX" w:eastAsia="en-US"/>
        </w:rPr>
        <w:t xml:space="preserve">, </w:t>
      </w:r>
      <w:r w:rsidRPr="000212E7">
        <w:rPr>
          <w:rFonts w:eastAsiaTheme="minorHAnsi"/>
          <w:i/>
          <w:iCs/>
          <w:lang w:val="es-MX" w:eastAsia="en-US"/>
        </w:rPr>
        <w:t>211</w:t>
      </w:r>
      <w:r w:rsidRPr="000212E7">
        <w:rPr>
          <w:rFonts w:eastAsiaTheme="minorHAnsi"/>
          <w:lang w:val="es-MX" w:eastAsia="en-US"/>
        </w:rPr>
        <w:t>(4481), 453–458. https://doi.org/10.1126/science.7455683</w:t>
      </w:r>
    </w:p>
    <w:p w14:paraId="7A7F78BE" w14:textId="277EFF95" w:rsidR="005C4AE2" w:rsidRPr="009B7B54" w:rsidRDefault="000212E7" w:rsidP="009B7B54">
      <w:pPr>
        <w:spacing w:line="360" w:lineRule="auto"/>
        <w:ind w:firstLine="709"/>
      </w:pPr>
      <w:r>
        <w:fldChar w:fldCharType="end"/>
      </w:r>
    </w:p>
    <w:sectPr w:rsidR="005C4AE2" w:rsidRPr="009B7B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9A"/>
    <w:rsid w:val="000212E7"/>
    <w:rsid w:val="00075E0C"/>
    <w:rsid w:val="00082A97"/>
    <w:rsid w:val="000866D6"/>
    <w:rsid w:val="000924C6"/>
    <w:rsid w:val="001B7B63"/>
    <w:rsid w:val="001C6C1B"/>
    <w:rsid w:val="00272CB8"/>
    <w:rsid w:val="00297C4F"/>
    <w:rsid w:val="002F62FA"/>
    <w:rsid w:val="00395C96"/>
    <w:rsid w:val="003E4E94"/>
    <w:rsid w:val="0041320A"/>
    <w:rsid w:val="004473AE"/>
    <w:rsid w:val="00471A39"/>
    <w:rsid w:val="004E17AD"/>
    <w:rsid w:val="004F48FF"/>
    <w:rsid w:val="005736CB"/>
    <w:rsid w:val="005C4AE2"/>
    <w:rsid w:val="00622778"/>
    <w:rsid w:val="00642057"/>
    <w:rsid w:val="0069198A"/>
    <w:rsid w:val="006A07E3"/>
    <w:rsid w:val="00722077"/>
    <w:rsid w:val="00735ACF"/>
    <w:rsid w:val="00747BC4"/>
    <w:rsid w:val="007A4222"/>
    <w:rsid w:val="007F7C43"/>
    <w:rsid w:val="00803BE4"/>
    <w:rsid w:val="0093242F"/>
    <w:rsid w:val="00934277"/>
    <w:rsid w:val="00944E5C"/>
    <w:rsid w:val="009B551F"/>
    <w:rsid w:val="009B7B54"/>
    <w:rsid w:val="00A92D3E"/>
    <w:rsid w:val="00AB3CEF"/>
    <w:rsid w:val="00B155FB"/>
    <w:rsid w:val="00B45125"/>
    <w:rsid w:val="00C65077"/>
    <w:rsid w:val="00C9125B"/>
    <w:rsid w:val="00CA75D9"/>
    <w:rsid w:val="00E4196F"/>
    <w:rsid w:val="00E7669A"/>
    <w:rsid w:val="00F008C2"/>
    <w:rsid w:val="00F53F0A"/>
  </w:rsids>
  <m:mathPr>
    <m:mathFont m:val="Cambria Math"/>
    <m:brkBin m:val="before"/>
    <m:brkBinSub m:val="--"/>
    <m:smallFrac m:val="0"/>
    <m:dispDef/>
    <m:lMargin m:val="0"/>
    <m:rMargin m:val="0"/>
    <m:defJc m:val="centerGroup"/>
    <m:wrapIndent m:val="1440"/>
    <m:intLim m:val="subSup"/>
    <m:naryLim m:val="undOvr"/>
  </m:mathPr>
  <w:themeFontLang w:val="es-BR"/>
  <w:clrSchemeMapping w:bg1="light1" w:t1="dark1" w:bg2="light2" w:t2="dark2" w:accent1="accent1" w:accent2="accent2" w:accent3="accent3" w:accent4="accent4" w:accent5="accent5" w:accent6="accent6" w:hyperlink="hyperlink" w:followedHyperlink="followedHyperlink"/>
  <w:decimalSymbol w:val="."/>
  <w:listSeparator w:val=";"/>
  <w14:docId w14:val="45216225"/>
  <w15:chartTrackingRefBased/>
  <w15:docId w15:val="{ECE1CAF5-4C1D-5543-BE26-906DE751F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9A"/>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E766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E766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E7669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E7669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tulo5">
    <w:name w:val="heading 5"/>
    <w:basedOn w:val="Normal"/>
    <w:next w:val="Normal"/>
    <w:link w:val="Ttulo5Car"/>
    <w:uiPriority w:val="9"/>
    <w:semiHidden/>
    <w:unhideWhenUsed/>
    <w:qFormat/>
    <w:rsid w:val="00E7669A"/>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tulo6">
    <w:name w:val="heading 6"/>
    <w:basedOn w:val="Normal"/>
    <w:next w:val="Normal"/>
    <w:link w:val="Ttulo6Car"/>
    <w:uiPriority w:val="9"/>
    <w:semiHidden/>
    <w:unhideWhenUsed/>
    <w:qFormat/>
    <w:rsid w:val="00E7669A"/>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tulo7">
    <w:name w:val="heading 7"/>
    <w:basedOn w:val="Normal"/>
    <w:next w:val="Normal"/>
    <w:link w:val="Ttulo7Car"/>
    <w:uiPriority w:val="9"/>
    <w:semiHidden/>
    <w:unhideWhenUsed/>
    <w:qFormat/>
    <w:rsid w:val="00E7669A"/>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ar"/>
    <w:uiPriority w:val="9"/>
    <w:semiHidden/>
    <w:unhideWhenUsed/>
    <w:qFormat/>
    <w:rsid w:val="00E7669A"/>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ar"/>
    <w:uiPriority w:val="9"/>
    <w:semiHidden/>
    <w:unhideWhenUsed/>
    <w:qFormat/>
    <w:rsid w:val="00E7669A"/>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6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66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66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66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66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66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66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66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669A"/>
    <w:rPr>
      <w:rFonts w:eastAsiaTheme="majorEastAsia" w:cstheme="majorBidi"/>
      <w:color w:val="272727" w:themeColor="text1" w:themeTint="D8"/>
    </w:rPr>
  </w:style>
  <w:style w:type="paragraph" w:styleId="Ttulo">
    <w:name w:val="Title"/>
    <w:basedOn w:val="Normal"/>
    <w:next w:val="Normal"/>
    <w:link w:val="TtuloCar"/>
    <w:uiPriority w:val="10"/>
    <w:qFormat/>
    <w:rsid w:val="00E7669A"/>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E766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66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E766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669A"/>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E7669A"/>
    <w:rPr>
      <w:i/>
      <w:iCs/>
      <w:color w:val="404040" w:themeColor="text1" w:themeTint="BF"/>
    </w:rPr>
  </w:style>
  <w:style w:type="paragraph" w:styleId="Prrafodelista">
    <w:name w:val="List Paragraph"/>
    <w:basedOn w:val="Normal"/>
    <w:uiPriority w:val="34"/>
    <w:qFormat/>
    <w:rsid w:val="00E7669A"/>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E7669A"/>
    <w:rPr>
      <w:i/>
      <w:iCs/>
      <w:color w:val="0F4761" w:themeColor="accent1" w:themeShade="BF"/>
    </w:rPr>
  </w:style>
  <w:style w:type="paragraph" w:styleId="Citadestacada">
    <w:name w:val="Intense Quote"/>
    <w:basedOn w:val="Normal"/>
    <w:next w:val="Normal"/>
    <w:link w:val="CitadestacadaCar"/>
    <w:uiPriority w:val="30"/>
    <w:qFormat/>
    <w:rsid w:val="00E766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E7669A"/>
    <w:rPr>
      <w:i/>
      <w:iCs/>
      <w:color w:val="0F4761" w:themeColor="accent1" w:themeShade="BF"/>
    </w:rPr>
  </w:style>
  <w:style w:type="character" w:styleId="Referenciaintensa">
    <w:name w:val="Intense Reference"/>
    <w:basedOn w:val="Fuentedeprrafopredeter"/>
    <w:uiPriority w:val="32"/>
    <w:qFormat/>
    <w:rsid w:val="00E7669A"/>
    <w:rPr>
      <w:b/>
      <w:bCs/>
      <w:smallCaps/>
      <w:color w:val="0F4761" w:themeColor="accent1" w:themeShade="BF"/>
      <w:spacing w:val="5"/>
    </w:rPr>
  </w:style>
  <w:style w:type="character" w:styleId="Hipervnculo">
    <w:name w:val="Hyperlink"/>
    <w:basedOn w:val="Fuentedeprrafopredeter"/>
    <w:uiPriority w:val="99"/>
    <w:semiHidden/>
    <w:unhideWhenUsed/>
    <w:rsid w:val="00E7669A"/>
    <w:rPr>
      <w:color w:val="0000FF"/>
      <w:u w:val="single"/>
    </w:rPr>
  </w:style>
  <w:style w:type="table" w:styleId="Tablaconcuadrcula">
    <w:name w:val="Table Grid"/>
    <w:basedOn w:val="Tablanormal"/>
    <w:uiPriority w:val="39"/>
    <w:rsid w:val="00E766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E7669A"/>
    <w:rPr>
      <w:i/>
      <w:iCs/>
    </w:rPr>
  </w:style>
  <w:style w:type="paragraph" w:styleId="Bibliografa">
    <w:name w:val="Bibliography"/>
    <w:basedOn w:val="Normal"/>
    <w:next w:val="Normal"/>
    <w:uiPriority w:val="37"/>
    <w:unhideWhenUsed/>
    <w:rsid w:val="00297C4F"/>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873AB-5B43-E74F-945D-E406DDAD8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14</Pages>
  <Words>10667</Words>
  <Characters>56964</Characters>
  <Application>Microsoft Office Word</Application>
  <DocSecurity>0</DocSecurity>
  <Lines>780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13</cp:revision>
  <dcterms:created xsi:type="dcterms:W3CDTF">2026-04-03T15:00:00Z</dcterms:created>
  <dcterms:modified xsi:type="dcterms:W3CDTF">2026-04-07T15:16:00Z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id="VWwAKATO"/&gt;&lt;style id="http://www.zotero.org/styles/apa" locale="en-US" hasBibliography="1" bibliographyStyleHasBeenSet="1"/&gt;&lt;prefs&gt;&lt;pref name="fieldType" value="Field"/&gt;&lt;/prefs&gt;&lt;/data&gt;</vt:lpwstr>
  </property>
</Properties>
</file>