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/>
      </w:pPr>
      <w:r>
        <w:rPr>
          <w:rFonts w:ascii="Calibri" w:cs="Calibri" w:eastAsia="Calibri" w:hAnsi="Calibri"/>
        </w:rPr>
        <w:t xml:space="preserve">Informe de Arquitectura - Entrega 2</w:t>
      </w:r>
    </w:p>
    <w:p>
      <w:pPr>
        <w:spacing w:after="60"/>
      </w:pPr>
      <w:r>
        <w:rPr>
          <w:rFonts w:ascii="Calibri" w:cs="Calibri" w:eastAsia="Calibri" w:hAnsi="Calibri"/>
          <w:color w:val="444444"/>
          <w:sz w:val="24"/>
          <w:szCs w:val="24"/>
        </w:rPr>
        <w:t xml:space="preserve">Despliegue básico en la nube (GCP) - Plataforma MOOC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ISIS4426 - Arquitectura y Diseño de Software en la Nube</w:t>
      </w:r>
    </w:p>
    <w:p>
      <w:pPr>
        <w:spacing w:after="60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Proyecto: Plataforma MOOC - Persona 1: Daniela Solarte</w:t>
      </w:r>
    </w:p>
    <w:p>
      <w:pPr>
        <w:spacing w:after="300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Fecha: 27 de septiembre de 2026</w:t>
      </w:r>
    </w:p>
    <w:p>
      <w:pPr>
        <w:spacing w:after="120"/>
      </w:pPr>
      <w:r>
        <w:rPr>
          <w:rFonts w:ascii="Calibri" w:cs="Calibri" w:eastAsia="Calibri" w:hAnsi="Calibri"/>
        </w:rPr>
        <w:t xml:space="preserve">Este documento consolida la arquitectura desplegada para la Entrega 2. Las secciones de red y Web Server fueron preparadas por Samara Martinez.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Componentes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API modular en Go con Echo.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Worker en Go con asynq.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Redis para sesiones y cola.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ClamAV para escaneo.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Cloud SQL for PostgreSQL para persistencia transaccional.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Cloud Storage como almacenamiento de objetos compatible con S3.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Caddy como proxy inverso HTTPS en Web Server.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Despliegue</w:t>
      </w:r>
    </w:p>
    <w:p>
      <w:pPr>
        <w:spacing w:after="120"/>
      </w:pPr>
      <w:r>
        <w:rPr>
          <w:rFonts w:ascii="Calibri" w:cs="Calibri" w:eastAsia="Calibri" w:hAnsi="Calibri"/>
        </w:rPr>
        <w:t xml:space="preserve">El despliegue usa dos maquinas virtuales fijas: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Web Server: API, Mailpit de laboratorio y proxy HTTPS.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Worker Server: worker, Redis y ClamAV.</w:t>
      </w:r>
    </w:p>
    <w:p>
      <w:pPr>
        <w:spacing w:after="120"/>
      </w:pPr>
      <w:r>
        <w:rPr>
          <w:rFonts w:ascii="Calibri" w:cs="Calibri" w:eastAsia="Calibri" w:hAnsi="Calibri"/>
        </w:rPr>
        <w:t xml:space="preserve">PostgreSQL se ejecuta en Cloud SQL y los objetos se almacenan en Cloud Storage.</w:t>
      </w:r>
    </w:p>
    <w:p>
      <w:pPr>
        <w:spacing w:after="120"/>
      </w:pPr>
      <w:r>
        <w:rPr>
          <w:rFonts w:ascii="Calibri" w:cs="Calibri" w:eastAsia="Calibri" w:hAnsi="Calibri"/>
        </w:rPr>
        <w:t xml:space="preserve">Modelo de componentes (módulos, worker y comunicación síncrona/asíncrona):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i/>
          <w:iCs/>
        </w:rPr>
        <w:t xml:space="preserve">Modelo de componentes</w:t>
      </w:r>
      <w:r>
        <w:rPr>
          <w:rFonts w:ascii="Consolas" w:cs="Consolas" w:eastAsia="Consolas" w:hAnsi="Consolas"/>
          <w:color w:val="555555"/>
          <w:sz w:val="18"/>
          <w:szCs w:val="18"/>
        </w:rPr>
        <w:t xml:space="preserve"> (modelo-componentes.md)</w:t>
      </w:r>
    </w:p>
    <w:p>
      <w:pPr>
        <w:spacing w:after="120"/>
      </w:pPr>
      <w:r>
        <w:rPr>
          <w:rFonts w:ascii="Calibri" w:cs="Calibri" w:eastAsia="Calibri" w:hAnsi="Calibri"/>
        </w:rPr>
        <w:t xml:space="preserve">Detalle de red, firewall y HTTPS: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i/>
          <w:iCs/>
        </w:rPr>
        <w:t xml:space="preserve">Modelo de despliegue de Samara</w:t>
      </w:r>
      <w:r>
        <w:rPr>
          <w:rFonts w:ascii="Consolas" w:cs="Consolas" w:eastAsia="Consolas" w:hAnsi="Consolas"/>
          <w:color w:val="555555"/>
          <w:sz w:val="18"/>
          <w:szCs w:val="18"/>
        </w:rPr>
        <w:t xml:space="preserve"> (modelo-despliegue-samara.md)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i/>
          <w:iCs/>
        </w:rPr>
        <w:t xml:space="preserve">Fuente del diagrama de red</w:t>
      </w:r>
      <w:r>
        <w:rPr>
          <w:rFonts w:ascii="Consolas" w:cs="Consolas" w:eastAsia="Consolas" w:hAnsi="Consolas"/>
          <w:color w:val="555555"/>
          <w:sz w:val="18"/>
          <w:szCs w:val="18"/>
        </w:rPr>
        <w:t xml:space="preserve"> (red-gcp.mmd)</w:t>
      </w:r>
    </w:p>
    <w:p>
      <w:pPr>
        <w:spacing w:after="120"/>
      </w:pPr>
      <w:r>
        <w:rPr>
          <w:rFonts w:ascii="Calibri" w:cs="Calibri" w:eastAsia="Calibri" w:hAnsi="Calibri"/>
        </w:rPr>
        <w:t xml:space="preserve">Seguridad y manejo de secretos: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i/>
          <w:iCs/>
        </w:rPr>
        <w:t xml:space="preserve">Secretos y seguridad</w:t>
      </w:r>
      <w:r>
        <w:rPr>
          <w:rFonts w:ascii="Consolas" w:cs="Consolas" w:eastAsia="Consolas" w:hAnsi="Consolas"/>
          <w:color w:val="555555"/>
          <w:sz w:val="18"/>
          <w:szCs w:val="18"/>
        </w:rPr>
        <w:t xml:space="preserve"> (secretos-y-seguridad.md)</w:t>
      </w:r>
    </w:p>
    <w:p>
      <w:pPr>
        <w:spacing w:after="120"/>
      </w:pPr>
      <w:r>
        <w:rPr>
          <w:rFonts w:ascii="Calibri" w:cs="Calibri" w:eastAsia="Calibri" w:hAnsi="Calibri"/>
        </w:rPr>
        <w:t xml:space="preserve">Decisiones y adaptaciones de empaquetado y configuración: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i/>
          <w:iCs/>
        </w:rPr>
        <w:t xml:space="preserve">Decisiones y adaptaciones: empaquetado (Daniela)</w:t>
      </w:r>
      <w:r>
        <w:rPr>
          <w:rFonts w:ascii="Consolas" w:cs="Consolas" w:eastAsia="Consolas" w:hAnsi="Consolas"/>
          <w:color w:val="555555"/>
          <w:sz w:val="18"/>
          <w:szCs w:val="18"/>
        </w:rPr>
        <w:t xml:space="preserve"> (decisiones-empaquetado-daniela.md)</w:t>
      </w:r>
    </w:p>
    <w:p>
      <w:pPr>
        <w:spacing w:after="120"/>
      </w:pPr>
      <w:r>
        <w:rPr>
          <w:rFonts w:ascii="Calibri" w:cs="Calibri" w:eastAsia="Calibri" w:hAnsi="Calibri"/>
        </w:rPr>
        <w:t xml:space="preserve">Operación y recuperación (migraciones, despliegue, reinicio, respaldo):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i/>
          <w:iCs/>
        </w:rPr>
        <w:t xml:space="preserve">Operación y recuperación</w:t>
      </w:r>
      <w:r>
        <w:rPr>
          <w:rFonts w:ascii="Consolas" w:cs="Consolas" w:eastAsia="Consolas" w:hAnsi="Consolas"/>
          <w:color w:val="555555"/>
          <w:sz w:val="18"/>
          <w:szCs w:val="18"/>
        </w:rPr>
        <w:t xml:space="preserve"> (../operacion-recuperacion.md)</w:t>
      </w:r>
    </w:p>
    <w:p>
      <w:pPr>
        <w:spacing w:after="120"/>
      </w:pPr>
      <w:r>
        <w:rPr>
          <w:rFonts w:ascii="Calibri" w:cs="Calibri" w:eastAsia="Calibri" w:hAnsi="Calibri"/>
        </w:rPr>
        <w:t xml:space="preserve">Capacidad, costo y procedimiento de métricas: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i/>
          <w:iCs/>
        </w:rPr>
        <w:t xml:space="preserve">Estimación de costos</w:t>
      </w:r>
      <w:r>
        <w:rPr>
          <w:rFonts w:ascii="Consolas" w:cs="Consolas" w:eastAsia="Consolas" w:hAnsi="Consolas"/>
          <w:color w:val="555555"/>
          <w:sz w:val="18"/>
          <w:szCs w:val="18"/>
        </w:rPr>
        <w:t xml:space="preserve"> (../costos-entrega2.md)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i/>
          <w:iCs/>
        </w:rPr>
        <w:t xml:space="preserve">Procedimiento de métricas de infraestructura</w:t>
      </w:r>
      <w:r>
        <w:rPr>
          <w:rFonts w:ascii="Consolas" w:cs="Consolas" w:eastAsia="Consolas" w:hAnsi="Consolas"/>
          <w:color w:val="555555"/>
          <w:sz w:val="18"/>
          <w:szCs w:val="18"/>
        </w:rPr>
        <w:t xml:space="preserve"> (../metricas-infra-entrega2.md)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i/>
          <w:iCs/>
        </w:rPr>
        <w:t xml:space="preserve">Informe de capacidad (Escenario 1 y 2)</w:t>
      </w:r>
      <w:r>
        <w:rPr>
          <w:rFonts w:ascii="Consolas" w:cs="Consolas" w:eastAsia="Consolas" w:hAnsi="Consolas"/>
          <w:color w:val="555555"/>
          <w:sz w:val="18"/>
          <w:szCs w:val="18"/>
        </w:rPr>
        <w:t xml:space="preserve"> (../../capacity-planning/pruebas_de_carga_entrega2.md)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Diferencias frente a Entrega 1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PostgreSQL local se reemplaza por Cloud SQL.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MinIO local se reemplaza por Cloud Storage.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La API se publica mediante HTTPS en un Web Server.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Redis queda en Worker Server y se protege por firewall.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Los secretos salen del repositorio y se inyectan con archivos </w:t>
      </w:r>
      <w:r>
        <w:rPr>
          <w:rFonts w:ascii="Consolas" w:cs="Consolas" w:eastAsia="Consolas" w:hAnsi="Consolas"/>
          <w:sz w:val="20"/>
          <w:szCs w:val="20"/>
          <w:shd w:fill="EFEFEF" w:val="clear"/>
        </w:rPr>
        <w:t xml:space="preserve">.env</w:t>
      </w:r>
      <w:r>
        <w:rPr>
          <w:rFonts w:ascii="Calibri" w:cs="Calibri" w:eastAsia="Calibri" w:hAnsi="Calibri"/>
        </w:rPr>
        <w:t xml:space="preserve"> protegidos.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Evidencias del despliegue real (2026-09-27)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Dominio HTTPS: </w:t>
      </w:r>
      <w:r>
        <w:rPr>
          <w:rFonts w:ascii="Consolas" w:cs="Consolas" w:eastAsia="Consolas" w:hAnsi="Consolas"/>
          <w:sz w:val="20"/>
          <w:szCs w:val="20"/>
          <w:shd w:fill="EFEFEF" w:val="clear"/>
        </w:rPr>
        <w:t xml:space="preserve">https://35.254.78.215.sslip.io</w:t>
      </w:r>
      <w:r>
        <w:rPr>
          <w:rFonts w:ascii="Calibri" w:cs="Calibri" w:eastAsia="Calibri" w:hAnsi="Calibri"/>
        </w:rPr>
        <w:t xml:space="preserve"> (Caddy con certificado Let's Encrypt).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Red: VPC personalizada </w:t>
      </w:r>
      <w:r>
        <w:rPr>
          <w:rFonts w:ascii="Consolas" w:cs="Consolas" w:eastAsia="Consolas" w:hAnsi="Consolas"/>
          <w:sz w:val="20"/>
          <w:szCs w:val="20"/>
          <w:shd w:fill="EFEFEF" w:val="clear"/>
        </w:rPr>
        <w:t xml:space="preserve">mooc-e2-vpc</w:t>
      </w:r>
      <w:r>
        <w:rPr>
          <w:rFonts w:ascii="Calibri" w:cs="Calibri" w:eastAsia="Calibri" w:hAnsi="Calibri"/>
        </w:rPr>
        <w:t xml:space="preserve"> / subred </w:t>
      </w:r>
      <w:r>
        <w:rPr>
          <w:rFonts w:ascii="Consolas" w:cs="Consolas" w:eastAsia="Consolas" w:hAnsi="Consolas"/>
          <w:sz w:val="20"/>
          <w:szCs w:val="20"/>
          <w:shd w:fill="EFEFEF" w:val="clear"/>
        </w:rPr>
        <w:t xml:space="preserve">mooc-e2-subnet</w:t>
      </w:r>
      <w:r>
        <w:rPr>
          <w:rFonts w:ascii="Calibri" w:cs="Calibri" w:eastAsia="Calibri" w:hAnsi="Calibri"/>
        </w:rPr>
        <w:t xml:space="preserve"> (</w:t>
      </w:r>
      <w:r>
        <w:rPr>
          <w:rFonts w:ascii="Consolas" w:cs="Consolas" w:eastAsia="Consolas" w:hAnsi="Consolas"/>
          <w:sz w:val="20"/>
          <w:szCs w:val="20"/>
          <w:shd w:fill="EFEFEF" w:val="clear"/>
        </w:rPr>
        <w:t xml:space="preserve">10.20.0.0/24</w:t>
      </w:r>
      <w:r>
        <w:rPr>
          <w:rFonts w:ascii="Calibri" w:cs="Calibri" w:eastAsia="Calibri" w:hAnsi="Calibri"/>
        </w:rPr>
        <w:t xml:space="preserve">), la propuesta en </w:t>
      </w:r>
      <w:r>
        <w:rPr>
          <w:rFonts w:ascii="Consolas" w:cs="Consolas" w:eastAsia="Consolas" w:hAnsi="Consolas"/>
          <w:sz w:val="20"/>
          <w:szCs w:val="20"/>
          <w:shd w:fill="EFEFEF" w:val="clear"/>
        </w:rPr>
        <w:t xml:space="preserve">modelo-despliegue-samara.md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IP estatica del Web Server (</w:t>
      </w:r>
      <w:r>
        <w:rPr>
          <w:rFonts w:ascii="Consolas" w:cs="Consolas" w:eastAsia="Consolas" w:hAnsi="Consolas"/>
          <w:sz w:val="20"/>
          <w:szCs w:val="20"/>
          <w:shd w:fill="EFEFEF" w:val="clear"/>
        </w:rPr>
        <w:t xml:space="preserve">mooc-e2-web</w:t>
      </w:r>
      <w:r>
        <w:rPr>
          <w:rFonts w:ascii="Calibri" w:cs="Calibri" w:eastAsia="Calibri" w:hAnsi="Calibri"/>
        </w:rPr>
        <w:t xml:space="preserve">): </w:t>
      </w:r>
      <w:r>
        <w:rPr>
          <w:rFonts w:ascii="Consolas" w:cs="Consolas" w:eastAsia="Consolas" w:hAnsi="Consolas"/>
          <w:sz w:val="20"/>
          <w:szCs w:val="20"/>
          <w:shd w:fill="EFEFEF" w:val="clear"/>
        </w:rPr>
        <w:t xml:space="preserve">35.254.78.215</w:t>
      </w:r>
      <w:r>
        <w:rPr>
          <w:rFonts w:ascii="Calibri" w:cs="Calibri" w:eastAsia="Calibri" w:hAnsi="Calibri"/>
        </w:rPr>
        <w:t xml:space="preserve"> (interna </w:t>
      </w:r>
      <w:r>
        <w:rPr>
          <w:rFonts w:ascii="Consolas" w:cs="Consolas" w:eastAsia="Consolas" w:hAnsi="Consolas"/>
          <w:sz w:val="20"/>
          <w:szCs w:val="20"/>
          <w:shd w:fill="EFEFEF" w:val="clear"/>
        </w:rPr>
        <w:t xml:space="preserve">10.20.0.3</w:t>
      </w:r>
      <w:r>
        <w:rPr>
          <w:rFonts w:ascii="Calibri" w:cs="Calibri" w:eastAsia="Calibri" w:hAnsi="Calibri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IP interna del Worker Server (</w:t>
      </w:r>
      <w:r>
        <w:rPr>
          <w:rFonts w:ascii="Consolas" w:cs="Consolas" w:eastAsia="Consolas" w:hAnsi="Consolas"/>
          <w:sz w:val="20"/>
          <w:szCs w:val="20"/>
          <w:shd w:fill="EFEFEF" w:val="clear"/>
        </w:rPr>
        <w:t xml:space="preserve">mooc-e2-worker</w:t>
      </w:r>
      <w:r>
        <w:rPr>
          <w:rFonts w:ascii="Calibri" w:cs="Calibri" w:eastAsia="Calibri" w:hAnsi="Calibri"/>
        </w:rPr>
        <w:t xml:space="preserve">): </w:t>
      </w:r>
      <w:r>
        <w:rPr>
          <w:rFonts w:ascii="Consolas" w:cs="Consolas" w:eastAsia="Consolas" w:hAnsi="Consolas"/>
          <w:sz w:val="20"/>
          <w:szCs w:val="20"/>
          <w:shd w:fill="EFEFEF" w:val="clear"/>
        </w:rPr>
        <w:t xml:space="preserve">10.20.0.2</w:t>
      </w:r>
      <w:r>
        <w:rPr>
          <w:rFonts w:ascii="Calibri" w:cs="Calibri" w:eastAsia="Calibri" w:hAnsi="Calibri"/>
        </w:rPr>
        <w:t xml:space="preserve"> (tambien tiene IP externa </w:t>
      </w:r>
      <w:r>
        <w:rPr>
          <w:rFonts w:ascii="Consolas" w:cs="Consolas" w:eastAsia="Consolas" w:hAnsi="Consolas"/>
          <w:sz w:val="20"/>
          <w:szCs w:val="20"/>
          <w:shd w:fill="EFEFEF" w:val="clear"/>
        </w:rPr>
        <w:t xml:space="preserve">34.28.33.182</w:t>
      </w:r>
      <w:r>
        <w:rPr>
          <w:rFonts w:ascii="Calibri" w:cs="Calibri" w:eastAsia="Calibri" w:hAnsi="Calibri"/>
        </w:rPr>
        <w:t xml:space="preserve">, desviacion registrada; ver </w:t>
      </w:r>
      <w:r>
        <w:rPr>
          <w:rFonts w:ascii="Consolas" w:cs="Consolas" w:eastAsia="Consolas" w:hAnsi="Consolas"/>
          <w:sz w:val="20"/>
          <w:szCs w:val="20"/>
          <w:shd w:fill="EFEFEF" w:val="clear"/>
        </w:rPr>
        <w:t xml:space="preserve">docs/costos-entrega2.md</w:t>
      </w:r>
      <w:r>
        <w:rPr>
          <w:rFonts w:ascii="Calibri" w:cs="Calibri" w:eastAsia="Calibri" w:hAnsi="Calibri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Instancia Cloud SQL: </w:t>
      </w:r>
      <w:r>
        <w:rPr>
          <w:rFonts w:ascii="Consolas" w:cs="Consolas" w:eastAsia="Consolas" w:hAnsi="Consolas"/>
          <w:sz w:val="20"/>
          <w:szCs w:val="20"/>
          <w:shd w:fill="EFEFEF" w:val="clear"/>
        </w:rPr>
        <w:t xml:space="preserve">mooc-postgres</w:t>
      </w:r>
      <w:r>
        <w:rPr>
          <w:rFonts w:ascii="Calibri" w:cs="Calibri" w:eastAsia="Calibri" w:hAnsi="Calibri"/>
        </w:rPr>
        <w:t xml:space="preserve"> (IP publica </w:t>
      </w:r>
      <w:r>
        <w:rPr>
          <w:rFonts w:ascii="Consolas" w:cs="Consolas" w:eastAsia="Consolas" w:hAnsi="Consolas"/>
          <w:sz w:val="20"/>
          <w:szCs w:val="20"/>
          <w:shd w:fill="EFEFEF" w:val="clear"/>
        </w:rPr>
        <w:t xml:space="preserve">34.42.6.180</w:t>
      </w:r>
      <w:r>
        <w:rPr>
          <w:rFonts w:ascii="Calibri" w:cs="Calibri" w:eastAsia="Calibri" w:hAnsi="Calibri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Bucket de Cloud Storage: </w:t>
      </w:r>
      <w:r>
        <w:rPr>
          <w:rFonts w:ascii="Consolas" w:cs="Consolas" w:eastAsia="Consolas" w:hAnsi="Consolas"/>
          <w:sz w:val="20"/>
          <w:szCs w:val="20"/>
          <w:shd w:fill="EFEFEF" w:val="clear"/>
        </w:rPr>
        <w:t xml:space="preserve">mooc-e2-media-proyecto1-entrega2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Evidencia de </w:t>
      </w:r>
      <w:r>
        <w:rPr>
          <w:rFonts w:ascii="Consolas" w:cs="Consolas" w:eastAsia="Consolas" w:hAnsi="Consolas"/>
          <w:sz w:val="20"/>
          <w:szCs w:val="20"/>
          <w:shd w:fill="EFEFEF" w:val="clear"/>
        </w:rPr>
        <w:t xml:space="preserve">curl</w:t>
      </w:r>
      <w:r>
        <w:rPr>
          <w:rFonts w:ascii="Calibri" w:cs="Calibri" w:eastAsia="Calibri" w:hAnsi="Calibri"/>
        </w:rPr>
        <w:t xml:space="preserve">: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$ curl -v https://35.254.78.215.sslip.io/health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HTTP/1.1 200 OK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Content-Type: application/json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{"status":"ok"}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Resultado de pruebas Postman/k6 sobre la URL cloud: ver </w:t>
      </w:r>
      <w:r>
        <w:rPr>
          <w:rFonts w:ascii="Consolas" w:cs="Consolas" w:eastAsia="Consolas" w:hAnsi="Consolas"/>
          <w:sz w:val="20"/>
          <w:szCs w:val="20"/>
          <w:shd w:fill="EFEFEF" w:val="clear"/>
        </w:rPr>
        <w:t xml:space="preserve">capacity-planning/pruebas_de_carga_entrega2.md</w:t>
      </w:r>
      <w:r>
        <w:rPr>
          <w:rFonts w:ascii="Calibri" w:cs="Calibri" w:eastAsia="Calibri" w:hAnsi="Calibri"/>
        </w:rPr>
        <w:t xml:space="preserve"> (Escenario 1 y 2).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Desviaciones frente al diseno de red original</w:t>
      </w:r>
    </w:p>
    <w:p>
      <w:pPr>
        <w:spacing w:after="120"/>
      </w:pPr>
      <w:r>
        <w:rPr>
          <w:rFonts w:ascii="Calibri" w:cs="Calibri" w:eastAsia="Calibri" w:hAnsi="Calibri"/>
        </w:rPr>
        <w:t xml:space="preserve">El Worker Server quedo con IP externa (</w:t>
      </w:r>
      <w:r>
        <w:rPr>
          <w:rFonts w:ascii="Consolas" w:cs="Consolas" w:eastAsia="Consolas" w:hAnsi="Consolas"/>
          <w:sz w:val="20"/>
          <w:szCs w:val="20"/>
          <w:shd w:fill="EFEFEF" w:val="clear"/>
        </w:rPr>
        <w:t xml:space="preserve">34.28.33.182</w:t>
      </w:r>
      <w:r>
        <w:rPr>
          <w:rFonts w:ascii="Calibri" w:cs="Calibri" w:eastAsia="Calibri" w:hAnsi="Calibri"/>
        </w:rPr>
        <w:t xml:space="preserve">) en vez de solo salida por Cloud NAT, como recomienda el diseno original. La VPC personalizada si se implemento (ver "Evidencias" arriba); esa desviacion inicial quedo resuelta el 27 de septiembre. Detalle completo en </w:t>
      </w:r>
      <w:r>
        <w:rPr>
          <w:rFonts w:ascii="Consolas" w:cs="Consolas" w:eastAsia="Consolas" w:hAnsi="Consolas"/>
          <w:sz w:val="20"/>
          <w:szCs w:val="20"/>
          <w:shd w:fill="EFEFEF" w:val="clear"/>
        </w:rPr>
        <w:t xml:space="preserve">docs/costos-entrega2.md</w:t>
      </w:r>
      <w:r>
        <w:rPr>
          <w:rFonts w:ascii="Calibri" w:cs="Calibri" w:eastAsia="Calibri" w:hAnsi="Calibri"/>
        </w:rPr>
        <w:t xml:space="preserve">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Capacidad, costo y limitaciones</w:t>
      </w:r>
    </w:p>
    <w:p>
      <w:pPr>
        <w:spacing w:after="120"/>
      </w:pPr>
      <w:r>
        <w:rPr>
          <w:rFonts w:ascii="Calibri" w:cs="Calibri" w:eastAsia="Calibri" w:hAnsi="Calibri"/>
        </w:rPr>
        <w:t xml:space="preserve">Configuración exacta, estimación y consumo observado: ver </w:t>
      </w:r>
      <w:r>
        <w:rPr>
          <w:rFonts w:ascii="Calibri" w:cs="Calibri" w:eastAsia="Calibri" w:hAnsi="Calibri"/>
          <w:i/>
          <w:iCs/>
        </w:rPr>
        <w:t xml:space="preserve">Estimación de costos</w:t>
      </w:r>
      <w:r>
        <w:rPr>
          <w:rFonts w:ascii="Consolas" w:cs="Consolas" w:eastAsia="Consolas" w:hAnsi="Consolas"/>
          <w:color w:val="555555"/>
          <w:sz w:val="18"/>
          <w:szCs w:val="18"/>
        </w:rPr>
        <w:t xml:space="preserve"> (../costos-entrega2.md)</w:t>
      </w:r>
      <w:r>
        <w:rPr>
          <w:rFonts w:ascii="Calibri" w:cs="Calibri" w:eastAsia="Calibri" w:hAnsi="Calibri"/>
        </w:rPr>
        <w:t xml:space="preserve"> (Compute Engine </w:t>
      </w:r>
      <w:r>
        <w:rPr>
          <w:rFonts w:ascii="Consolas" w:cs="Consolas" w:eastAsia="Consolas" w:hAnsi="Consolas"/>
          <w:sz w:val="20"/>
          <w:szCs w:val="20"/>
          <w:shd w:fill="EFEFEF" w:val="clear"/>
        </w:rPr>
        <w:t xml:space="preserve">e2-small</w:t>
      </w:r>
      <w:r>
        <w:rPr>
          <w:rFonts w:ascii="Calibri" w:cs="Calibri" w:eastAsia="Calibri" w:hAnsi="Calibri"/>
        </w:rPr>
        <w:t xml:space="preserve"> x2, Cloud SQL </w:t>
      </w:r>
      <w:r>
        <w:rPr>
          <w:rFonts w:ascii="Consolas" w:cs="Consolas" w:eastAsia="Consolas" w:hAnsi="Consolas"/>
          <w:sz w:val="20"/>
          <w:szCs w:val="20"/>
          <w:shd w:fill="EFEFEF" w:val="clear"/>
        </w:rPr>
        <w:t xml:space="preserve">db-g1-small</w:t>
      </w:r>
      <w:r>
        <w:rPr>
          <w:rFonts w:ascii="Calibri" w:cs="Calibri" w:eastAsia="Calibri" w:hAnsi="Calibri"/>
        </w:rPr>
        <w:t xml:space="preserve"> sin HA, Cloud Storage clase Standard) y el </w:t>
      </w:r>
      <w:r>
        <w:rPr>
          <w:rFonts w:ascii="Calibri" w:cs="Calibri" w:eastAsia="Calibri" w:hAnsi="Calibri"/>
          <w:i/>
          <w:iCs/>
        </w:rPr>
        <w:t xml:space="preserve">informe de capacidad</w:t>
      </w:r>
      <w:r>
        <w:rPr>
          <w:rFonts w:ascii="Consolas" w:cs="Consolas" w:eastAsia="Consolas" w:hAnsi="Consolas"/>
          <w:color w:val="555555"/>
          <w:sz w:val="18"/>
          <w:szCs w:val="18"/>
        </w:rPr>
        <w:t xml:space="preserve"> (../../capacity-planning/pruebas_de_carga_entrega2.md)</w:t>
      </w:r>
      <w:r>
        <w:rPr>
          <w:rFonts w:ascii="Calibri" w:cs="Calibri" w:eastAsia="Calibri" w:hAnsi="Calibri"/>
        </w:rPr>
        <w:t xml:space="preserve"> para el consumo observado durante las corridas de k6.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</w:rPr>
        <w:t xml:space="preserve">Puntos únicos de falla</w:t>
      </w:r>
    </w:p>
    <w:p>
      <w:pPr>
        <w:spacing w:after="120"/>
      </w:pPr>
      <w:r>
        <w:rPr>
          <w:rFonts w:ascii="Calibri" w:cs="Calibri" w:eastAsia="Calibri" w:hAnsi="Calibri"/>
        </w:rPr>
        <w:t xml:space="preserve">Esta configuración básica (sin balanceo, sin réplicas, número fijo de máquinas) tiene varios puntos únicos de falla, todos aceptados explícitamente para el alcance de esta entrega: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</w:rPr>
        <w:t xml:space="preserve">Web Server (</w:t>
      </w:r>
      <w:r>
        <w:rPr>
          <w:rFonts w:ascii="Consolas" w:cs="Consolas" w:eastAsia="Consolas" w:hAnsi="Consolas"/>
          <w:b/>
          <w:bCs/>
          <w:sz w:val="20"/>
          <w:szCs w:val="20"/>
          <w:shd w:fill="EFEFEF" w:val="clear"/>
        </w:rPr>
        <w:t xml:space="preserve">mooc-e2-web</w:t>
      </w:r>
      <w:r>
        <w:rPr>
          <w:rFonts w:ascii="Calibri" w:cs="Calibri" w:eastAsia="Calibri" w:hAnsi="Calibri"/>
          <w:b/>
          <w:bCs/>
        </w:rPr>
        <w:t xml:space="preserve">).</w:t>
      </w:r>
      <w:r>
        <w:rPr>
          <w:rFonts w:ascii="Calibri" w:cs="Calibri" w:eastAsia="Calibri" w:hAnsi="Calibri"/>
        </w:rPr>
        <w:t xml:space="preserve"> Una sola instancia sirve toda la API y el proxy HTTPS. Si la VM cae, la aplicación completa deja de responder; no hay balanceador ni segunda instancia.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</w:rPr>
        <w:t xml:space="preserve">Worker Server (</w:t>
      </w:r>
      <w:r>
        <w:rPr>
          <w:rFonts w:ascii="Consolas" w:cs="Consolas" w:eastAsia="Consolas" w:hAnsi="Consolas"/>
          <w:b/>
          <w:bCs/>
          <w:sz w:val="20"/>
          <w:szCs w:val="20"/>
          <w:shd w:fill="EFEFEF" w:val="clear"/>
        </w:rPr>
        <w:t xml:space="preserve">mooc-e2-worker</w:t>
      </w:r>
      <w:r>
        <w:rPr>
          <w:rFonts w:ascii="Calibri" w:cs="Calibri" w:eastAsia="Calibri" w:hAnsi="Calibri"/>
          <w:b/>
          <w:bCs/>
        </w:rPr>
        <w:t xml:space="preserve">).</w:t>
      </w:r>
      <w:r>
        <w:rPr>
          <w:rFonts w:ascii="Calibri" w:cs="Calibri" w:eastAsia="Calibri" w:hAnsi="Calibri"/>
        </w:rPr>
        <w:t xml:space="preserve"> Concentra tres responsabilidades en una sola VM: el worker de procesamiento (asynq), Redis (sesiones y cola) y ClamAV. La caída de esta VM detiene el procesamiento asíncrono multimedia, invalida todas las sesiones activas y bloquea la cola, simultáneamente. </w:t>
      </w:r>
      <w:r>
        <w:rPr>
          <w:rFonts w:ascii="Calibri" w:cs="Calibri" w:eastAsia="Calibri" w:hAnsi="Calibri"/>
          <w:b/>
          <w:bCs/>
        </w:rPr>
        <w:t xml:space="preserve">Confirmado empíricamente durante las pruebas del Escenario 2</w:t>
      </w:r>
      <w:r>
        <w:rPr>
          <w:rFonts w:ascii="Calibri" w:cs="Calibri" w:eastAsia="Calibri" w:hAnsi="Calibri"/>
        </w:rPr>
        <w:t xml:space="preserve"> (2026-09-28): bajo carga real de transcodificación, la instancia colapsó por completo (incluido el acceso por SSH) y solo se recuperó con un reinicio forzado; ver </w:t>
      </w:r>
      <w:r>
        <w:rPr>
          <w:rFonts w:ascii="Consolas" w:cs="Consolas" w:eastAsia="Consolas" w:hAnsi="Consolas"/>
          <w:sz w:val="20"/>
          <w:szCs w:val="20"/>
          <w:shd w:fill="EFEFEF" w:val="clear"/>
        </w:rPr>
        <w:t xml:space="preserve">docs/entrega2/evidencia-colapso-worker.txt</w:t>
      </w:r>
      <w:r>
        <w:rPr>
          <w:rFonts w:ascii="Calibri" w:cs="Calibri" w:eastAsia="Calibri" w:hAnsi="Calibri"/>
        </w:rPr>
        <w:t xml:space="preserve"> y la sección "Punto de quiebre" en </w:t>
      </w:r>
      <w:r>
        <w:rPr>
          <w:rFonts w:ascii="Consolas" w:cs="Consolas" w:eastAsia="Consolas" w:hAnsi="Consolas"/>
          <w:sz w:val="20"/>
          <w:szCs w:val="20"/>
          <w:shd w:fill="EFEFEF" w:val="clear"/>
        </w:rPr>
        <w:t xml:space="preserve">capacity-planning/pruebas_de_carga_entrega2.md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</w:rPr>
        <w:t xml:space="preserve">Redis como servicio único compartido.</w:t>
      </w:r>
      <w:r>
        <w:rPr>
          <w:rFonts w:ascii="Calibri" w:cs="Calibri" w:eastAsia="Calibri" w:hAnsi="Calibri"/>
        </w:rPr>
        <w:t xml:space="preserve"> Al vivir en un solo contenedor sin persistencia administrada, una caída pierde tanto las sesiones activas (fuerza relogin a todos los usuarios) como los mensajes de la cola </w:t>
      </w:r>
      <w:r>
        <w:rPr>
          <w:rFonts w:ascii="Consolas" w:cs="Consolas" w:eastAsia="Consolas" w:hAnsi="Consolas"/>
          <w:sz w:val="20"/>
          <w:szCs w:val="20"/>
          <w:shd w:fill="EFEFEF" w:val="clear"/>
        </w:rPr>
        <w:t xml:space="preserve">asynq</w:t>
      </w:r>
      <w:r>
        <w:rPr>
          <w:rFonts w:ascii="Calibri" w:cs="Calibri" w:eastAsia="Calibri" w:hAnsi="Calibri"/>
        </w:rPr>
        <w:t xml:space="preserve"> en tránsito.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</w:rPr>
        <w:t xml:space="preserve">Cloud SQL sin alta disponibilidad.</w:t>
      </w:r>
      <w:r>
        <w:rPr>
          <w:rFonts w:ascii="Calibri" w:cs="Calibri" w:eastAsia="Calibri" w:hAnsi="Calibri"/>
        </w:rPr>
        <w:t xml:space="preserve"> La instancia </w:t>
      </w:r>
      <w:r>
        <w:rPr>
          <w:rFonts w:ascii="Consolas" w:cs="Consolas" w:eastAsia="Consolas" w:hAnsi="Consolas"/>
          <w:sz w:val="20"/>
          <w:szCs w:val="20"/>
          <w:shd w:fill="EFEFEF" w:val="clear"/>
        </w:rPr>
        <w:t xml:space="preserve">db-g1-small</w:t>
      </w:r>
      <w:r>
        <w:rPr>
          <w:rFonts w:ascii="Calibri" w:cs="Calibri" w:eastAsia="Calibri" w:hAnsi="Calibri"/>
        </w:rPr>
        <w:t xml:space="preserve"> corre en una sola zona sin réplica; una falla de zona deja la base de datos transaccional completa fuera de servicio hasta que se restaure desde respaldo.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</w:rPr>
        <w:t xml:space="preserve">Ausencia de balanceo o escalado automático.</w:t>
      </w:r>
      <w:r>
        <w:rPr>
          <w:rFonts w:ascii="Calibri" w:cs="Calibri" w:eastAsia="Calibri" w:hAnsi="Calibri"/>
        </w:rPr>
        <w:t xml:space="preserve"> No hay mecanismo para desviar tráfico si una VM se degrada ni para absorber picos de carga añadiendo capacidad (confirmado por el punto de quiebre del Escenario 1, entre 50 y 100 VUs concurrentes).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</w:rPr>
        <w:t xml:space="preserve">Cambios que permitirían evolucionar hacia una aplicación elástica</w:t>
      </w:r>
    </w:p>
    <w:p>
      <w:pPr>
        <w:spacing w:after="120"/>
      </w:pPr>
      <w:r>
        <w:rPr>
          <w:rFonts w:ascii="Calibri" w:cs="Calibri" w:eastAsia="Calibri" w:hAnsi="Calibri"/>
        </w:rPr>
        <w:t xml:space="preserve">En orden de impacto esperado frente al costo de implementarlos: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b/>
          <w:bCs/>
        </w:rPr>
        <w:t xml:space="preserve">Separar Redis de Worker Server hacia un servicio administrado</w:t>
      </w:r>
      <w:r>
        <w:rPr>
          <w:rFonts w:ascii="Calibri" w:cs="Calibri" w:eastAsia="Calibri" w:hAnsi="Calibri"/>
        </w:rPr>
        <w:t xml:space="preserve"> (Memorystore for Redis), para que la caída de la VM del worker deje de arrastrar sesiones y cola al mismo tiempo, y para poder escalar el worker sin perder estado compartido.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b/>
          <w:bCs/>
        </w:rPr>
        <w:t xml:space="preserve">Subir el límite de conexiones hacia PostgreSQL</w:t>
      </w:r>
      <w:r>
        <w:rPr>
          <w:rFonts w:ascii="Calibri" w:cs="Calibri" w:eastAsia="Calibri" w:hAnsi="Calibri"/>
        </w:rPr>
        <w:t xml:space="preserve"> (</w:t>
      </w:r>
      <w:r>
        <w:rPr>
          <w:rFonts w:ascii="Consolas" w:cs="Consolas" w:eastAsia="Consolas" w:hAnsi="Consolas"/>
          <w:sz w:val="20"/>
          <w:szCs w:val="20"/>
          <w:shd w:fill="EFEFEF" w:val="clear"/>
        </w:rPr>
        <w:t xml:space="preserve">DB_MAX_CONNS</w:t>
      </w:r>
      <w:r>
        <w:rPr>
          <w:rFonts w:ascii="Calibri" w:cs="Calibri" w:eastAsia="Calibri" w:hAnsi="Calibri"/>
        </w:rPr>
        <w:t xml:space="preserve"> y el tamaño de instancia de Cloud SQL, hoy </w:t>
      </w:r>
      <w:r>
        <w:rPr>
          <w:rFonts w:ascii="Consolas" w:cs="Consolas" w:eastAsia="Consolas" w:hAnsi="Consolas"/>
          <w:sz w:val="20"/>
          <w:szCs w:val="20"/>
          <w:shd w:fill="EFEFEF" w:val="clear"/>
        </w:rPr>
        <w:t xml:space="preserve">db-g1-small</w:t>
      </w:r>
      <w:r>
        <w:rPr>
          <w:rFonts w:ascii="Calibri" w:cs="Calibri" w:eastAsia="Calibri" w:hAnsi="Calibri"/>
        </w:rPr>
        <w:t xml:space="preserve"> con </w:t>
      </w:r>
      <w:r>
        <w:rPr>
          <w:rFonts w:ascii="Consolas" w:cs="Consolas" w:eastAsia="Consolas" w:hAnsi="Consolas"/>
          <w:sz w:val="20"/>
          <w:szCs w:val="20"/>
          <w:shd w:fill="EFEFEF" w:val="clear"/>
        </w:rPr>
        <w:t xml:space="preserve">max_connections = 50</w:t>
      </w:r>
      <w:r>
        <w:rPr>
          <w:rFonts w:ascii="Calibri" w:cs="Calibri" w:eastAsia="Calibri" w:hAnsi="Calibri"/>
        </w:rPr>
        <w:t xml:space="preserve">), la palanca de mayor impacto medido: el Escenario 1 identificó el pool de conexiones como el cuello de botella entre 50 y 100 VUs, antes que CPU o memoria.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b/>
          <w:bCs/>
        </w:rPr>
        <w:t xml:space="preserve">Habilitar alta disponibilidad en Cloud SQL</w:t>
      </w:r>
      <w:r>
        <w:rPr>
          <w:rFonts w:ascii="Calibri" w:cs="Calibri" w:eastAsia="Calibri" w:hAnsi="Calibri"/>
        </w:rPr>
        <w:t xml:space="preserve"> (instancia regional con failover automático) para eliminar el punto único de falla de la base de datos transaccional.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b/>
          <w:bCs/>
        </w:rPr>
        <w:t xml:space="preserve">Reemplazar la VM única de Web Server por un Managed Instance Group detrás de un balanceador de carga HTTP(S)</w:t>
      </w:r>
      <w:r>
        <w:rPr>
          <w:rFonts w:ascii="Calibri" w:cs="Calibri" w:eastAsia="Calibri" w:hAnsi="Calibri"/>
        </w:rPr>
        <w:t xml:space="preserve">, con las instancias configuradas sin estado local (las sesiones ya viven en Redis, no en la VM), habilitando escalado automático por CPU o por solicitudes.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b/>
          <w:bCs/>
        </w:rPr>
        <w:t xml:space="preserve">Escalar Worker Server horizontalmente</w:t>
      </w:r>
      <w:r>
        <w:rPr>
          <w:rFonts w:ascii="Calibri" w:cs="Calibri" w:eastAsia="Calibri" w:hAnsi="Calibri"/>
        </w:rPr>
        <w:t xml:space="preserve"> (más instancias del worker detrás de la misma cola de asynq) en vez de aumentar </w:t>
      </w:r>
      <w:r>
        <w:rPr>
          <w:rFonts w:ascii="Consolas" w:cs="Consolas" w:eastAsia="Consolas" w:hAnsi="Consolas"/>
          <w:sz w:val="20"/>
          <w:szCs w:val="20"/>
          <w:shd w:fill="EFEFEF" w:val="clear"/>
        </w:rPr>
        <w:t xml:space="preserve">WORKER_CONCURRENCY</w:t>
      </w:r>
      <w:r>
        <w:rPr>
          <w:rFonts w:ascii="Calibri" w:cs="Calibri" w:eastAsia="Calibri" w:hAnsi="Calibri"/>
        </w:rPr>
        <w:t xml:space="preserve"> indefinidamente en una sola VM, una vez Redis ya no dependa de esa misma VM.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b/>
          <w:bCs/>
        </w:rPr>
        <w:t xml:space="preserve">Añadir una CDN delante de Cloud Storage</w:t>
      </w:r>
      <w:r>
        <w:rPr>
          <w:rFonts w:ascii="Calibri" w:cs="Calibri" w:eastAsia="Calibri" w:hAnsi="Calibri"/>
        </w:rPr>
        <w:t xml:space="preserve"> para la entrega de HLS y otros derivados, reduciendo la latencia de reproducción y la carga directa sobre el bucket a medida que crece el número de estudiantes concurrentes (fuera del alcance de esta entrega, mencionado explícitamente en el enunciado como evolución posterior).</w:t>
      </w:r>
    </w:p>
    <w:p>
      <w:pPr>
        <w:spacing w:after="120"/>
      </w:pPr>
      <w:r>
        <w:rPr>
          <w:rFonts w:ascii="Calibri" w:cs="Calibri" w:eastAsia="Calibri" w:hAnsi="Calibri"/>
        </w:rPr>
        <w:t xml:space="preserve">Ninguno de estos cambios se implementó en esta entrega: el alcance definido fija el número de máquinas y descarta explícitamente balanceo, réplicas y autoescalado. Quedan aquí como la propuesta de evolución sustentada en la evidencia de capacidad recolectada.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b/>
      <w:bCs/>
      <w:color w:val="1F3864"/>
      <w:sz w:val="44"/>
      <w:szCs w:val="44"/>
    </w:rPr>
  </w:style>
  <w:style w:type="paragraph" w:styleId="Heading1">
    <w:name w:val="Heading 1"/>
    <w:basedOn w:val="Normal"/>
    <w:next w:val="Normal"/>
    <w:qFormat/>
    <w:pPr>
      <w:spacing w:after="160" w:before="300"/>
    </w:pPr>
    <w:rPr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</w:pPr>
    <w:rPr>
      <w:b/>
      <w:bCs/>
      <w:color w:val="1F3864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</w:pPr>
    <w:rPr>
      <w:b/>
      <w:bCs/>
      <w:color w:val="2E5395"/>
      <w:sz w:val="23"/>
      <w:szCs w:val="23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2026-09-28T04:30:45.656Z</dcterms:created>
  <dcterms:modified xsi:type="dcterms:W3CDTF">2026-09-28T04:30:45.657Z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