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AE74" w14:textId="77777777" w:rsidR="00B27943" w:rsidRPr="00B27943" w:rsidRDefault="00B27943" w:rsidP="00B27943">
      <w:pPr>
        <w:rPr>
          <w:rFonts w:ascii="Aptos" w:hAnsi="Aptos"/>
          <w:b/>
          <w:bCs/>
          <w:lang w:val="es-CO"/>
        </w:rPr>
      </w:pPr>
      <w:r w:rsidRPr="00B27943">
        <w:rPr>
          <w:rFonts w:ascii="Aptos" w:hAnsi="Aptos"/>
          <w:b/>
          <w:bCs/>
          <w:lang w:val="es-CO"/>
        </w:rPr>
        <w:t>Comparación Cali y Medellín – Indicador 2. Presión económica de la movilidad (FPE)</w:t>
      </w:r>
    </w:p>
    <w:p w14:paraId="43965128" w14:textId="1C60BBCA" w:rsidR="00B27943" w:rsidRPr="00B27943" w:rsidRDefault="00B27943" w:rsidP="00B27943">
      <w:pPr>
        <w:rPr>
          <w:rFonts w:ascii="Aptos" w:hAnsi="Aptos"/>
          <w:lang w:val="es-CO"/>
        </w:rPr>
      </w:pPr>
      <w:r w:rsidRPr="00B27943">
        <w:rPr>
          <w:rFonts w:ascii="Aptos" w:hAnsi="Aptos"/>
          <w:lang w:val="es-CO"/>
        </w:rPr>
        <w:t xml:space="preserve">En términos generales, los resultados del Indicador 2 muestran patrones muy similares en Cali y Medellín: en ambas ciudades, la gran mayoría de las personas encuestadas reporta un gasto mensual en transporte inferior a 300 mil pesos. Esta concentración en los rangos más bajos de gasto sugiere que la movilidad cotidiana en ambas ciudades se organiza bajo restricciones económicas estructurales, más que como resultado de elecciones individuales libres. Desde la Ecología Política Feminista (FPE), este hallazgo es consistente con lo planteado por </w:t>
      </w:r>
      <w:proofErr w:type="spellStart"/>
      <w:r w:rsidRPr="00B27943">
        <w:rPr>
          <w:rFonts w:ascii="Aptos" w:hAnsi="Aptos"/>
          <w:lang w:val="es-CO"/>
        </w:rPr>
        <w:t>Sundberg</w:t>
      </w:r>
      <w:proofErr w:type="spellEnd"/>
      <w:r w:rsidRPr="00B27943">
        <w:rPr>
          <w:rFonts w:ascii="Aptos" w:hAnsi="Aptos"/>
          <w:lang w:val="es-CO"/>
        </w:rPr>
        <w:t xml:space="preserve"> (2017) y Resurrección (2017), quienes señalan que el acceso a los recursos urbanos</w:t>
      </w:r>
      <w:r>
        <w:rPr>
          <w:rFonts w:ascii="Aptos" w:hAnsi="Aptos"/>
          <w:lang w:val="es-CO"/>
        </w:rPr>
        <w:t xml:space="preserve">, </w:t>
      </w:r>
      <w:r w:rsidRPr="00B27943">
        <w:rPr>
          <w:rFonts w:ascii="Aptos" w:hAnsi="Aptos"/>
          <w:lang w:val="es-CO"/>
        </w:rPr>
        <w:t>incluida la movilidad</w:t>
      </w:r>
      <w:r>
        <w:rPr>
          <w:rFonts w:ascii="Aptos" w:hAnsi="Aptos"/>
          <w:lang w:val="es-CO"/>
        </w:rPr>
        <w:t>,</w:t>
      </w:r>
      <w:r w:rsidRPr="00B27943">
        <w:rPr>
          <w:rFonts w:ascii="Aptos" w:hAnsi="Aptos"/>
          <w:lang w:val="es-CO"/>
        </w:rPr>
        <w:t xml:space="preserve"> está mediado por la economía política del espacio y por la distribución desigual de recursos materiales.</w:t>
      </w:r>
    </w:p>
    <w:p w14:paraId="78B45075" w14:textId="77777777" w:rsidR="00B27943" w:rsidRPr="00B27943" w:rsidRDefault="00B27943" w:rsidP="00B27943">
      <w:pPr>
        <w:rPr>
          <w:rFonts w:ascii="Aptos" w:hAnsi="Aptos"/>
          <w:lang w:val="es-CO"/>
        </w:rPr>
      </w:pPr>
      <w:r w:rsidRPr="00B27943">
        <w:rPr>
          <w:rFonts w:ascii="Aptos" w:hAnsi="Aptos"/>
          <w:lang w:val="es-CO"/>
        </w:rPr>
        <w:t>Al comparar la distribución del gasto por estrato socioeconómico, tanto en Cali como en Medellín se observa que los estratos bajos concentran la mayor proporción de personas en el rango de menos de 100 mil pesos mensuales. En ambas ciudades, este patrón indica que el costo del transporte opera como una restricción significativa para los hogares de menores ingresos, limitando potencialmente su acceso efectivo a oportunidades urbanas. En contraste, los estratos altos en ambas ciudades muestran una mayor presencia en rangos de gasto superiores, lo que sugiere una mayor capacidad de absorber el costo de la movilidad sin que este funcione como un mecanismo excluyente. Esta lectura se alinea con la FPE en tanto enfatiza que las desigualdades en el acceso a la ciudad se producen a partir de relaciones estructurales de poder y clase (</w:t>
      </w:r>
      <w:proofErr w:type="spellStart"/>
      <w:r w:rsidRPr="00B27943">
        <w:rPr>
          <w:rFonts w:ascii="Aptos" w:hAnsi="Aptos"/>
          <w:lang w:val="es-CO"/>
        </w:rPr>
        <w:t>Sundberg</w:t>
      </w:r>
      <w:proofErr w:type="spellEnd"/>
      <w:r w:rsidRPr="00B27943">
        <w:rPr>
          <w:rFonts w:ascii="Aptos" w:hAnsi="Aptos"/>
          <w:lang w:val="es-CO"/>
        </w:rPr>
        <w:t>, 2017; Resurrección, 2017).</w:t>
      </w:r>
    </w:p>
    <w:p w14:paraId="387F8C0B" w14:textId="77777777" w:rsidR="00B27943" w:rsidRPr="00B27943" w:rsidRDefault="00B27943" w:rsidP="00B27943">
      <w:pPr>
        <w:rPr>
          <w:rFonts w:ascii="Aptos" w:hAnsi="Aptos"/>
          <w:lang w:val="es-CO"/>
        </w:rPr>
      </w:pPr>
      <w:r w:rsidRPr="00B27943">
        <w:rPr>
          <w:rFonts w:ascii="Aptos" w:hAnsi="Aptos"/>
          <w:lang w:val="es-CO"/>
        </w:rPr>
        <w:t>Las diferencias observadas entre Cali y Medellín son más de grado que de tipo. Medellín presenta una distribución ligeramente más concentrada en el rango de entre 100 y 300 mil pesos en los estratos medio y alto, mientras que en Cali se observa una mayor proporción relativa en el rango de menos de 100 mil pesos en los estratos bajos. Desde la FPE, estas variaciones no contradicen el patrón general, sino que reflejan diferencias contextuales en la estructura urbana, la oferta de transporte y las condiciones económicas locales, aspectos que moldean de manera situada la experiencia de la presión económica de la movilidad (</w:t>
      </w:r>
      <w:proofErr w:type="spellStart"/>
      <w:r w:rsidRPr="00B27943">
        <w:rPr>
          <w:rFonts w:ascii="Aptos" w:hAnsi="Aptos"/>
          <w:lang w:val="es-CO"/>
        </w:rPr>
        <w:t>Elmhirst</w:t>
      </w:r>
      <w:proofErr w:type="spellEnd"/>
      <w:r w:rsidRPr="00B27943">
        <w:rPr>
          <w:rFonts w:ascii="Aptos" w:hAnsi="Aptos"/>
          <w:lang w:val="es-CO"/>
        </w:rPr>
        <w:t>, 2011).</w:t>
      </w:r>
    </w:p>
    <w:p w14:paraId="102C5F6F" w14:textId="77777777" w:rsidR="00B27943" w:rsidRPr="00B27943" w:rsidRDefault="00B27943" w:rsidP="00B27943">
      <w:pPr>
        <w:rPr>
          <w:rFonts w:ascii="Aptos" w:hAnsi="Aptos"/>
          <w:lang w:val="es-CO"/>
        </w:rPr>
      </w:pPr>
      <w:r w:rsidRPr="00B27943">
        <w:rPr>
          <w:rFonts w:ascii="Aptos" w:hAnsi="Aptos"/>
          <w:lang w:val="es-CO"/>
        </w:rPr>
        <w:t xml:space="preserve">En cuanto al análisis por género, los resultados son notablemente consistentes entre Cali y Medellín. En ambas ciudades, hombres y mujeres presentan distribuciones muy similares del gasto monetario en transporte, concentradas principalmente en los rangos inferiores a 300 mil pesos. Desde una perspectiva de Ecología Política Feminista, esta similitud no implica ausencia de desigualdad de género. Tal como advierte </w:t>
      </w:r>
      <w:proofErr w:type="spellStart"/>
      <w:r w:rsidRPr="00B27943">
        <w:rPr>
          <w:rFonts w:ascii="Aptos" w:hAnsi="Aptos"/>
          <w:lang w:val="es-CO"/>
        </w:rPr>
        <w:t>Elmhirst</w:t>
      </w:r>
      <w:proofErr w:type="spellEnd"/>
      <w:r w:rsidRPr="00B27943">
        <w:rPr>
          <w:rFonts w:ascii="Aptos" w:hAnsi="Aptos"/>
          <w:lang w:val="es-CO"/>
        </w:rPr>
        <w:t xml:space="preserve"> (2011), el género no siempre se expresa en diferencias directas en variables monetarias, sino en la forma en que estas se articulan con otras dimensiones de la vida cotidiana, como el tiempo, las responsabilidades de cuidado y la exposición a riesgos.</w:t>
      </w:r>
    </w:p>
    <w:p w14:paraId="56E08B36" w14:textId="3E9FE558" w:rsidR="00C32B58" w:rsidRPr="00B27943" w:rsidRDefault="00B27943">
      <w:pPr>
        <w:rPr>
          <w:rFonts w:ascii="Aptos" w:hAnsi="Aptos"/>
          <w:lang w:val="es-CO"/>
        </w:rPr>
      </w:pPr>
      <w:r w:rsidRPr="00B27943">
        <w:rPr>
          <w:rFonts w:ascii="Aptos" w:hAnsi="Aptos"/>
          <w:lang w:val="es-CO"/>
        </w:rPr>
        <w:t xml:space="preserve">El cruce entre estrato socioeconómico y género refuerza esta lectura comparativa. Tanto en Cali como en Medellín, las diferencias por género son más visibles en los estratos bajos, </w:t>
      </w:r>
      <w:r w:rsidRPr="00B27943">
        <w:rPr>
          <w:rFonts w:ascii="Aptos" w:hAnsi="Aptos"/>
          <w:lang w:val="es-CO"/>
        </w:rPr>
        <w:lastRenderedPageBreak/>
        <w:t>donde las restricciones económicas estructurales afectan de manera más intensa la organización de la movilidad cotidiana. En los estratos altos, en cambio, las diferencias por género tienden a atenuarse en ambas ciudades. Este resultado confirma uno de los postulados centrales de la FPE: el género opera en interacción con la clase social y otras relaciones de poder, y no como un eje aislado (</w:t>
      </w:r>
      <w:proofErr w:type="spellStart"/>
      <w:r w:rsidRPr="00B27943">
        <w:rPr>
          <w:rFonts w:ascii="Aptos" w:hAnsi="Aptos"/>
          <w:lang w:val="es-CO"/>
        </w:rPr>
        <w:t>Sundberg</w:t>
      </w:r>
      <w:proofErr w:type="spellEnd"/>
      <w:r w:rsidRPr="00B27943">
        <w:rPr>
          <w:rFonts w:ascii="Aptos" w:hAnsi="Aptos"/>
          <w:lang w:val="es-CO"/>
        </w:rPr>
        <w:t>, 2017; Harcourt, 2015).</w:t>
      </w:r>
    </w:p>
    <w:sectPr w:rsidR="00C32B58" w:rsidRPr="00B27943" w:rsidSect="00B279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43"/>
    <w:rsid w:val="002C00E9"/>
    <w:rsid w:val="00322B0E"/>
    <w:rsid w:val="003B2013"/>
    <w:rsid w:val="00B27943"/>
    <w:rsid w:val="00C32B58"/>
    <w:rsid w:val="00E7514D"/>
    <w:rsid w:val="00F07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37B2"/>
  <w15:chartTrackingRefBased/>
  <w15:docId w15:val="{EC569258-393F-48A6-A56B-BECFE591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943"/>
    <w:pPr>
      <w:spacing w:after="200" w:line="276" w:lineRule="auto"/>
    </w:pPr>
    <w:rPr>
      <w:rFonts w:eastAsiaTheme="minorEastAsia"/>
      <w:lang w:val="en-US"/>
    </w:rPr>
  </w:style>
  <w:style w:type="paragraph" w:styleId="Ttulo1">
    <w:name w:val="heading 1"/>
    <w:basedOn w:val="Normal"/>
    <w:next w:val="Normal"/>
    <w:link w:val="Ttulo1Car"/>
    <w:uiPriority w:val="9"/>
    <w:qFormat/>
    <w:rsid w:val="00B27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7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79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9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9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9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9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9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9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9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79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79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79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9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9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9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9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943"/>
    <w:rPr>
      <w:rFonts w:eastAsiaTheme="majorEastAsia" w:cstheme="majorBidi"/>
      <w:color w:val="272727" w:themeColor="text1" w:themeTint="D8"/>
    </w:rPr>
  </w:style>
  <w:style w:type="paragraph" w:styleId="Ttulo">
    <w:name w:val="Title"/>
    <w:basedOn w:val="Normal"/>
    <w:next w:val="Normal"/>
    <w:link w:val="TtuloCar"/>
    <w:uiPriority w:val="10"/>
    <w:qFormat/>
    <w:rsid w:val="00B27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9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9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9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943"/>
    <w:pPr>
      <w:spacing w:before="160"/>
      <w:jc w:val="center"/>
    </w:pPr>
    <w:rPr>
      <w:i/>
      <w:iCs/>
      <w:color w:val="404040" w:themeColor="text1" w:themeTint="BF"/>
    </w:rPr>
  </w:style>
  <w:style w:type="character" w:customStyle="1" w:styleId="CitaCar">
    <w:name w:val="Cita Car"/>
    <w:basedOn w:val="Fuentedeprrafopredeter"/>
    <w:link w:val="Cita"/>
    <w:uiPriority w:val="29"/>
    <w:rsid w:val="00B27943"/>
    <w:rPr>
      <w:i/>
      <w:iCs/>
      <w:color w:val="404040" w:themeColor="text1" w:themeTint="BF"/>
    </w:rPr>
  </w:style>
  <w:style w:type="paragraph" w:styleId="Prrafodelista">
    <w:name w:val="List Paragraph"/>
    <w:basedOn w:val="Normal"/>
    <w:uiPriority w:val="34"/>
    <w:qFormat/>
    <w:rsid w:val="00B27943"/>
    <w:pPr>
      <w:ind w:left="720"/>
      <w:contextualSpacing/>
    </w:pPr>
  </w:style>
  <w:style w:type="character" w:styleId="nfasisintenso">
    <w:name w:val="Intense Emphasis"/>
    <w:basedOn w:val="Fuentedeprrafopredeter"/>
    <w:uiPriority w:val="21"/>
    <w:qFormat/>
    <w:rsid w:val="00B27943"/>
    <w:rPr>
      <w:i/>
      <w:iCs/>
      <w:color w:val="0F4761" w:themeColor="accent1" w:themeShade="BF"/>
    </w:rPr>
  </w:style>
  <w:style w:type="paragraph" w:styleId="Citadestacada">
    <w:name w:val="Intense Quote"/>
    <w:basedOn w:val="Normal"/>
    <w:next w:val="Normal"/>
    <w:link w:val="CitadestacadaCar"/>
    <w:uiPriority w:val="30"/>
    <w:qFormat/>
    <w:rsid w:val="00B2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943"/>
    <w:rPr>
      <w:i/>
      <w:iCs/>
      <w:color w:val="0F4761" w:themeColor="accent1" w:themeShade="BF"/>
    </w:rPr>
  </w:style>
  <w:style w:type="character" w:styleId="Referenciaintensa">
    <w:name w:val="Intense Reference"/>
    <w:basedOn w:val="Fuentedeprrafopredeter"/>
    <w:uiPriority w:val="32"/>
    <w:qFormat/>
    <w:rsid w:val="00B27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562</Words>
  <Characters>3095</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Valdés Cárdenas</dc:creator>
  <cp:keywords/>
  <dc:description/>
  <cp:lastModifiedBy>Daniela Valdés Cárdenas</cp:lastModifiedBy>
  <cp:revision>1</cp:revision>
  <dcterms:created xsi:type="dcterms:W3CDTF">2025-12-19T12:45:00Z</dcterms:created>
  <dcterms:modified xsi:type="dcterms:W3CDTF">2025-12-19T12:50:00Z</dcterms:modified>
</cp:coreProperties>
</file>