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jc w:val="center"/>
      </w:pPr>
      <w:r>
        <w:rPr>
          <w:b/>
          <w:color w:val="8A6400"/>
          <w:sz w:val="20"/>
        </w:rPr>
        <w:t>FEM UAFHÆNGIGE REVIEWS</w:t>
      </w:r>
    </w:p>
    <w:p>
      <w:pPr>
        <w:pStyle w:val="Title"/>
        <w:jc w:val="center"/>
      </w:pPr>
      <w:r>
        <w:t>Stress test af Cortex Governance Framework v1.0</w:t>
      </w:r>
    </w:p>
    <w:p>
      <w:pPr>
        <w:pStyle w:val="Subtitle"/>
        <w:jc w:val="center"/>
      </w:pPr>
      <w:r>
        <w:t>Arkitektur · regulering · klinik · produkt · filosofi</w:t>
      </w:r>
    </w:p>
    <w:p>
      <w:pPr>
        <w:spacing w:after="680"/>
        <w:jc w:val="center"/>
      </w:pPr>
      <w:r>
        <w:t>Reviewgrundlag: Cortex Governance Framework v1.0 · 21. juli 2026</w:t>
      </w:r>
    </w:p>
    <w:p>
      <w:pPr>
        <w:spacing w:before="100" w:after="180"/>
        <w:ind w:left="173" w:right="173"/>
        <w:shd w:fill="FFF4CE"/>
      </w:pPr>
      <w:r>
        <w:rPr>
          <w:b/>
          <w:color w:val="8A6400"/>
        </w:rPr>
        <w:t xml:space="preserve">Kommissionens hoveddom: </w:t>
      </w:r>
      <w:r>
        <w:t>Frameworket er intellektuelt stærkt og usædvanligt komplet som governance-arkitektur, men endnu ikke driftsklart. Dets største risiko er, at høj dokumentdisciplin forveksles med reel klinisk og regulatorisk kontrol.</w:t>
      </w:r>
    </w:p>
    <w:p>
      <w:pPr>
        <w:pageBreakBefore/>
        <w:spacing w:after="60"/>
      </w:pPr>
      <w:r>
        <w:rPr>
          <w:b/>
          <w:color w:val="667085"/>
          <w:sz w:val="18"/>
        </w:rPr>
        <w:t>KONVERGENS FØR DETALJER</w:t>
      </w:r>
    </w:p>
    <w:p>
      <w:pPr>
        <w:pStyle w:val="Heading1"/>
      </w:pPr>
      <w:r>
        <w:t>0. Samlet dom</w:t>
      </w:r>
    </w:p>
    <w:p>
      <w:r>
        <w:rPr>
          <w:rFonts w:ascii="Calibri" w:hAnsi="Calibri"/>
          <w:i w:val="0"/>
          <w:sz w:val="22"/>
        </w:rPr>
        <w:t>De fem reviews når ikke samme konklusion af samme grunde, men de konvergerer om ét afgørende fund: Cortex har defineret et overbevisende styringssprog, ikke endnu et bevist styringssystem. Frameworket kan blive projektets operating system, hvis det reducerer procesbyrden, kobles til et egentligt kvalitetsledelsessystem og gøres observerbart i konsultationer og produktbeslutninger.</w:t>
      </w:r>
    </w:p>
    <w:tbl>
      <w:tblPr>
        <w:tblW w:type="dxa" w:w="9360"/>
        <w:jc w:val="left"/>
        <w:tblLayout w:type="fixed"/>
        <w:tblLook w:firstColumn="1" w:firstRow="1" w:lastColumn="0" w:lastRow="0" w:noHBand="0" w:noVBand="1" w:val="04A0"/>
        <w:tblInd w:w="120" w:type="dxa"/>
      </w:tblPr>
      <w:tblGrid>
        <w:gridCol w:w="1944"/>
        <w:gridCol w:w="1512"/>
        <w:gridCol w:w="2880"/>
        <w:gridCol w:w="3024"/>
      </w:tblGrid>
      <w:tr>
        <w:trPr>
          <w:tblHeader/>
        </w:trPr>
        <w:tc>
          <w:tcPr>
            <w:tcW w:type="dxa" w:w="1944"/>
            <w:tcMar>
              <w:top w:w="90" w:type="dxa"/>
              <w:start w:w="120" w:type="dxa"/>
              <w:bottom w:w="90" w:type="dxa"/>
              <w:end w:w="120" w:type="dxa"/>
            </w:tcMar>
            <w:vAlign w:val="center"/>
          </w:tcPr>
          <w:p>
            <w:pPr>
              <w:shd w:fill="DCE6EB"/>
            </w:pPr>
            <w:r>
              <w:rPr>
                <w:b/>
                <w:color w:val="15324A"/>
                <w:sz w:val="16"/>
              </w:rPr>
              <w:t>Review</w:t>
            </w:r>
          </w:p>
        </w:tc>
        <w:tc>
          <w:tcPr>
            <w:tcW w:type="dxa" w:w="1512"/>
            <w:tcMar>
              <w:top w:w="90" w:type="dxa"/>
              <w:start w:w="120" w:type="dxa"/>
              <w:bottom w:w="90" w:type="dxa"/>
              <w:end w:w="120" w:type="dxa"/>
            </w:tcMar>
            <w:vAlign w:val="center"/>
          </w:tcPr>
          <w:p>
            <w:pPr>
              <w:shd w:fill="DCE6EB"/>
            </w:pPr>
            <w:r>
              <w:rPr>
                <w:b/>
                <w:color w:val="15324A"/>
                <w:sz w:val="16"/>
              </w:rPr>
              <w:t>Dom</w:t>
            </w:r>
          </w:p>
        </w:tc>
        <w:tc>
          <w:tcPr>
            <w:tcW w:type="dxa" w:w="2880"/>
            <w:tcMar>
              <w:top w:w="90" w:type="dxa"/>
              <w:start w:w="120" w:type="dxa"/>
              <w:bottom w:w="90" w:type="dxa"/>
              <w:end w:w="120" w:type="dxa"/>
            </w:tcMar>
            <w:vAlign w:val="center"/>
          </w:tcPr>
          <w:p>
            <w:pPr>
              <w:shd w:fill="DCE6EB"/>
            </w:pPr>
            <w:r>
              <w:rPr>
                <w:b/>
                <w:color w:val="15324A"/>
                <w:sz w:val="16"/>
              </w:rPr>
              <w:t>Stærkeste kvalitet</w:t>
            </w:r>
          </w:p>
        </w:tc>
        <w:tc>
          <w:tcPr>
            <w:tcW w:type="dxa" w:w="3024"/>
            <w:tcMar>
              <w:top w:w="90" w:type="dxa"/>
              <w:start w:w="120" w:type="dxa"/>
              <w:bottom w:w="90" w:type="dxa"/>
              <w:end w:w="120" w:type="dxa"/>
            </w:tcMar>
            <w:vAlign w:val="center"/>
          </w:tcPr>
          <w:p>
            <w:pPr>
              <w:shd w:fill="DCE6EB"/>
            </w:pPr>
            <w:r>
              <w:rPr>
                <w:b/>
                <w:color w:val="15324A"/>
                <w:sz w:val="16"/>
              </w:rPr>
              <w:t>Kritisk svaghed</w:t>
            </w:r>
          </w:p>
        </w:tc>
      </w:tr>
      <w:tr>
        <w:tc>
          <w:tcPr>
            <w:tcW w:type="dxa" w:w="1944"/>
            <w:tcMar>
              <w:top w:w="90" w:type="dxa"/>
              <w:start w:w="120" w:type="dxa"/>
              <w:bottom w:w="90" w:type="dxa"/>
              <w:end w:w="120" w:type="dxa"/>
            </w:tcMar>
            <w:vAlign w:val="center"/>
          </w:tcPr>
          <w:p>
            <w:pPr>
              <w:spacing w:after="0" w:line="259" w:lineRule="auto"/>
            </w:pPr>
            <w:r>
              <w:rPr>
                <w:sz w:val="16"/>
              </w:rPr>
              <w:t>Softwarearkitekt</w:t>
            </w:r>
          </w:p>
        </w:tc>
        <w:tc>
          <w:tcPr>
            <w:tcW w:type="dxa" w:w="1512"/>
            <w:tcMar>
              <w:top w:w="90" w:type="dxa"/>
              <w:start w:w="120" w:type="dxa"/>
              <w:bottom w:w="90" w:type="dxa"/>
              <w:end w:w="120" w:type="dxa"/>
            </w:tcMar>
            <w:vAlign w:val="center"/>
          </w:tcPr>
          <w:p>
            <w:pPr>
              <w:spacing w:after="0" w:line="259" w:lineRule="auto"/>
            </w:pPr>
            <w:r>
              <w:rPr>
                <w:sz w:val="16"/>
              </w:rPr>
              <w:t>6/10 driftsklar</w:t>
            </w:r>
          </w:p>
        </w:tc>
        <w:tc>
          <w:tcPr>
            <w:tcW w:type="dxa" w:w="2880"/>
            <w:tcMar>
              <w:top w:w="90" w:type="dxa"/>
              <w:start w:w="120" w:type="dxa"/>
              <w:bottom w:w="90" w:type="dxa"/>
              <w:end w:w="120" w:type="dxa"/>
            </w:tcMar>
            <w:vAlign w:val="center"/>
          </w:tcPr>
          <w:p>
            <w:pPr>
              <w:spacing w:after="0" w:line="259" w:lineRule="auto"/>
            </w:pPr>
            <w:r>
              <w:rPr>
                <w:sz w:val="16"/>
              </w:rPr>
              <w:t>Sporbarhed og klare artefaktroller</w:t>
            </w:r>
          </w:p>
        </w:tc>
        <w:tc>
          <w:tcPr>
            <w:tcW w:type="dxa" w:w="3024"/>
            <w:tcMar>
              <w:top w:w="90" w:type="dxa"/>
              <w:start w:w="120" w:type="dxa"/>
              <w:bottom w:w="90" w:type="dxa"/>
              <w:end w:w="120" w:type="dxa"/>
            </w:tcMar>
            <w:vAlign w:val="center"/>
          </w:tcPr>
          <w:p>
            <w:pPr>
              <w:spacing w:after="0" w:line="259" w:lineRule="auto"/>
            </w:pPr>
            <w:r>
              <w:rPr>
                <w:sz w:val="16"/>
              </w:rPr>
              <w:t>12 artefakter og 9 organer uden risikotilpasning</w:t>
            </w:r>
          </w:p>
        </w:tc>
      </w:tr>
      <w:tr>
        <w:tc>
          <w:tcPr>
            <w:tcW w:type="dxa" w:w="1944"/>
            <w:tcMar>
              <w:top w:w="90" w:type="dxa"/>
              <w:start w:w="120" w:type="dxa"/>
              <w:bottom w:w="90" w:type="dxa"/>
              <w:end w:w="120" w:type="dxa"/>
            </w:tcMar>
            <w:vAlign w:val="center"/>
          </w:tcPr>
          <w:p>
            <w:pPr>
              <w:shd w:fill="F7F9FA"/>
              <w:spacing w:after="0" w:line="259" w:lineRule="auto"/>
            </w:pPr>
            <w:r>
              <w:rPr>
                <w:sz w:val="16"/>
              </w:rPr>
              <w:t>Regulatorisk ekspert</w:t>
            </w:r>
          </w:p>
        </w:tc>
        <w:tc>
          <w:tcPr>
            <w:tcW w:type="dxa" w:w="1512"/>
            <w:tcMar>
              <w:top w:w="90" w:type="dxa"/>
              <w:start w:w="120" w:type="dxa"/>
              <w:bottom w:w="90" w:type="dxa"/>
              <w:end w:w="120" w:type="dxa"/>
            </w:tcMar>
            <w:vAlign w:val="center"/>
          </w:tcPr>
          <w:p>
            <w:pPr>
              <w:shd w:fill="F7F9FA"/>
              <w:spacing w:after="0" w:line="259" w:lineRule="auto"/>
            </w:pPr>
            <w:r>
              <w:rPr>
                <w:sz w:val="16"/>
              </w:rPr>
              <w:t>5/10 compliance-ready</w:t>
            </w:r>
          </w:p>
        </w:tc>
        <w:tc>
          <w:tcPr>
            <w:tcW w:type="dxa" w:w="2880"/>
            <w:tcMar>
              <w:top w:w="90" w:type="dxa"/>
              <w:start w:w="120" w:type="dxa"/>
              <w:bottom w:w="90" w:type="dxa"/>
              <w:end w:w="120" w:type="dxa"/>
            </w:tcMar>
            <w:vAlign w:val="center"/>
          </w:tcPr>
          <w:p>
            <w:pPr>
              <w:shd w:fill="F7F9FA"/>
              <w:spacing w:after="0" w:line="259" w:lineRule="auto"/>
            </w:pPr>
            <w:r>
              <w:rPr>
                <w:sz w:val="16"/>
              </w:rPr>
              <w:t>Safety Case, evidens og læringssløjfe</w:t>
            </w:r>
          </w:p>
        </w:tc>
        <w:tc>
          <w:tcPr>
            <w:tcW w:type="dxa" w:w="3024"/>
            <w:tcMar>
              <w:top w:w="90" w:type="dxa"/>
              <w:start w:w="120" w:type="dxa"/>
              <w:bottom w:w="90" w:type="dxa"/>
              <w:end w:w="120" w:type="dxa"/>
            </w:tcMar>
            <w:vAlign w:val="center"/>
          </w:tcPr>
          <w:p>
            <w:pPr>
              <w:shd w:fill="F7F9FA"/>
              <w:spacing w:after="0" w:line="259" w:lineRule="auto"/>
            </w:pPr>
            <w:r>
              <w:rPr>
                <w:sz w:val="16"/>
              </w:rPr>
              <w:t>Ingen formel regulatorisk scope-, QMS- eller conformity-mapping</w:t>
            </w:r>
          </w:p>
        </w:tc>
      </w:tr>
      <w:tr>
        <w:tc>
          <w:tcPr>
            <w:tcW w:type="dxa" w:w="1944"/>
            <w:tcMar>
              <w:top w:w="90" w:type="dxa"/>
              <w:start w:w="120" w:type="dxa"/>
              <w:bottom w:w="90" w:type="dxa"/>
              <w:end w:w="120" w:type="dxa"/>
            </w:tcMar>
            <w:vAlign w:val="center"/>
          </w:tcPr>
          <w:p>
            <w:pPr>
              <w:spacing w:after="0" w:line="259" w:lineRule="auto"/>
            </w:pPr>
            <w:r>
              <w:rPr>
                <w:sz w:val="16"/>
              </w:rPr>
              <w:t>Praktiserende læge</w:t>
            </w:r>
          </w:p>
        </w:tc>
        <w:tc>
          <w:tcPr>
            <w:tcW w:type="dxa" w:w="1512"/>
            <w:tcMar>
              <w:top w:w="90" w:type="dxa"/>
              <w:start w:w="120" w:type="dxa"/>
              <w:bottom w:w="90" w:type="dxa"/>
              <w:end w:w="120" w:type="dxa"/>
            </w:tcMar>
            <w:vAlign w:val="center"/>
          </w:tcPr>
          <w:p>
            <w:pPr>
              <w:spacing w:after="0" w:line="259" w:lineRule="auto"/>
            </w:pPr>
            <w:r>
              <w:rPr>
                <w:sz w:val="16"/>
              </w:rPr>
              <w:t>6/10 klinisk mærkbar</w:t>
            </w:r>
          </w:p>
        </w:tc>
        <w:tc>
          <w:tcPr>
            <w:tcW w:type="dxa" w:w="2880"/>
            <w:tcMar>
              <w:top w:w="90" w:type="dxa"/>
              <w:start w:w="120" w:type="dxa"/>
              <w:bottom w:w="90" w:type="dxa"/>
              <w:end w:w="120" w:type="dxa"/>
            </w:tcMar>
            <w:vAlign w:val="center"/>
          </w:tcPr>
          <w:p>
            <w:pPr>
              <w:spacing w:after="0" w:line="259" w:lineRule="auto"/>
            </w:pPr>
            <w:r>
              <w:rPr>
                <w:sz w:val="16"/>
              </w:rPr>
              <w:t>Opmærksomhed, usikkerhed og professionelt ansvar</w:t>
            </w:r>
          </w:p>
        </w:tc>
        <w:tc>
          <w:tcPr>
            <w:tcW w:type="dxa" w:w="3024"/>
            <w:tcMar>
              <w:top w:w="90" w:type="dxa"/>
              <w:start w:w="120" w:type="dxa"/>
              <w:bottom w:w="90" w:type="dxa"/>
              <w:end w:w="120" w:type="dxa"/>
            </w:tcMar>
            <w:vAlign w:val="center"/>
          </w:tcPr>
          <w:p>
            <w:pPr>
              <w:spacing w:after="0" w:line="259" w:lineRule="auto"/>
            </w:pPr>
            <w:r>
              <w:rPr>
                <w:sz w:val="16"/>
              </w:rPr>
              <w:t>Ingen eksplicit konsultationsmodel eller kliniker-vendte effektmål</w:t>
            </w:r>
          </w:p>
        </w:tc>
      </w:tr>
      <w:tr>
        <w:tc>
          <w:tcPr>
            <w:tcW w:type="dxa" w:w="1944"/>
            <w:tcMar>
              <w:top w:w="90" w:type="dxa"/>
              <w:start w:w="120" w:type="dxa"/>
              <w:bottom w:w="90" w:type="dxa"/>
              <w:end w:w="120" w:type="dxa"/>
            </w:tcMar>
            <w:vAlign w:val="center"/>
          </w:tcPr>
          <w:p>
            <w:pPr>
              <w:shd w:fill="F7F9FA"/>
              <w:spacing w:after="0" w:line="259" w:lineRule="auto"/>
            </w:pPr>
            <w:r>
              <w:rPr>
                <w:sz w:val="16"/>
              </w:rPr>
              <w:t>Produktansvarlig</w:t>
            </w:r>
          </w:p>
        </w:tc>
        <w:tc>
          <w:tcPr>
            <w:tcW w:type="dxa" w:w="1512"/>
            <w:tcMar>
              <w:top w:w="90" w:type="dxa"/>
              <w:start w:w="120" w:type="dxa"/>
              <w:bottom w:w="90" w:type="dxa"/>
              <w:end w:w="120" w:type="dxa"/>
            </w:tcMar>
            <w:vAlign w:val="center"/>
          </w:tcPr>
          <w:p>
            <w:pPr>
              <w:shd w:fill="F7F9FA"/>
              <w:spacing w:after="0" w:line="259" w:lineRule="auto"/>
            </w:pPr>
            <w:r>
              <w:rPr>
                <w:sz w:val="16"/>
              </w:rPr>
              <w:t>7/10 til at sige nej</w:t>
            </w:r>
          </w:p>
        </w:tc>
        <w:tc>
          <w:tcPr>
            <w:tcW w:type="dxa" w:w="2880"/>
            <w:tcMar>
              <w:top w:w="90" w:type="dxa"/>
              <w:start w:w="120" w:type="dxa"/>
              <w:bottom w:w="90" w:type="dxa"/>
              <w:end w:w="120" w:type="dxa"/>
            </w:tcMar>
            <w:vAlign w:val="center"/>
          </w:tcPr>
          <w:p>
            <w:pPr>
              <w:shd w:fill="F7F9FA"/>
              <w:spacing w:after="0" w:line="259" w:lineRule="auto"/>
            </w:pPr>
            <w:r>
              <w:rPr>
                <w:sz w:val="16"/>
              </w:rPr>
              <w:t>Forrang, gates og anti-omgåelse</w:t>
            </w:r>
          </w:p>
        </w:tc>
        <w:tc>
          <w:tcPr>
            <w:tcW w:type="dxa" w:w="3024"/>
            <w:tcMar>
              <w:top w:w="90" w:type="dxa"/>
              <w:start w:w="120" w:type="dxa"/>
              <w:bottom w:w="90" w:type="dxa"/>
              <w:end w:w="120" w:type="dxa"/>
            </w:tcMar>
            <w:vAlign w:val="center"/>
          </w:tcPr>
          <w:p>
            <w:pPr>
              <w:shd w:fill="F7F9FA"/>
              <w:spacing w:after="0" w:line="259" w:lineRule="auto"/>
            </w:pPr>
            <w:r>
              <w:rPr>
                <w:sz w:val="16"/>
              </w:rPr>
              <w:t>Svag til at vælge mellem flere legitime ja’er</w:t>
            </w:r>
          </w:p>
        </w:tc>
      </w:tr>
      <w:tr>
        <w:tc>
          <w:tcPr>
            <w:tcW w:type="dxa" w:w="1944"/>
            <w:tcMar>
              <w:top w:w="90" w:type="dxa"/>
              <w:start w:w="120" w:type="dxa"/>
              <w:bottom w:w="90" w:type="dxa"/>
              <w:end w:w="120" w:type="dxa"/>
            </w:tcMar>
            <w:vAlign w:val="center"/>
          </w:tcPr>
          <w:p>
            <w:pPr>
              <w:spacing w:after="0" w:line="259" w:lineRule="auto"/>
            </w:pPr>
            <w:r>
              <w:rPr>
                <w:sz w:val="16"/>
              </w:rPr>
              <w:t>Filosofisk kritiker</w:t>
            </w:r>
          </w:p>
        </w:tc>
        <w:tc>
          <w:tcPr>
            <w:tcW w:type="dxa" w:w="1512"/>
            <w:tcMar>
              <w:top w:w="90" w:type="dxa"/>
              <w:start w:w="120" w:type="dxa"/>
              <w:bottom w:w="90" w:type="dxa"/>
              <w:end w:w="120" w:type="dxa"/>
            </w:tcMar>
            <w:vAlign w:val="center"/>
          </w:tcPr>
          <w:p>
            <w:pPr>
              <w:spacing w:after="0" w:line="259" w:lineRule="auto"/>
            </w:pPr>
            <w:r>
              <w:rPr>
                <w:sz w:val="16"/>
              </w:rPr>
              <w:t>6/10 principiel stringens</w:t>
            </w:r>
          </w:p>
        </w:tc>
        <w:tc>
          <w:tcPr>
            <w:tcW w:type="dxa" w:w="2880"/>
            <w:tcMar>
              <w:top w:w="90" w:type="dxa"/>
              <w:start w:w="120" w:type="dxa"/>
              <w:bottom w:w="90" w:type="dxa"/>
              <w:end w:w="120" w:type="dxa"/>
            </w:tcMar>
            <w:vAlign w:val="center"/>
          </w:tcPr>
          <w:p>
            <w:pPr>
              <w:spacing w:after="0" w:line="259" w:lineRule="auto"/>
            </w:pPr>
            <w:r>
              <w:rPr>
                <w:sz w:val="16"/>
              </w:rPr>
              <w:t>Mennesket som ansvarligt, situeret subjekt</w:t>
            </w:r>
          </w:p>
        </w:tc>
        <w:tc>
          <w:tcPr>
            <w:tcW w:type="dxa" w:w="3024"/>
            <w:tcMar>
              <w:top w:w="90" w:type="dxa"/>
              <w:start w:w="120" w:type="dxa"/>
              <w:bottom w:w="90" w:type="dxa"/>
              <w:end w:w="120" w:type="dxa"/>
            </w:tcMar>
            <w:vAlign w:val="center"/>
          </w:tcPr>
          <w:p>
            <w:pPr>
              <w:spacing w:after="0" w:line="259" w:lineRule="auto"/>
            </w:pPr>
            <w:r>
              <w:rPr>
                <w:sz w:val="16"/>
              </w:rPr>
              <w:t>Afledte værdier behandles flere steder som selvstændige grundnormer</w:t>
            </w:r>
          </w:p>
        </w:tc>
      </w:tr>
    </w:tbl>
    <w:p>
      <w:pPr>
        <w:spacing w:after="0"/>
      </w:pPr>
    </w:p>
    <w:p>
      <w:pPr>
        <w:spacing w:before="100" w:after="180"/>
        <w:ind w:left="173" w:right="173"/>
        <w:shd w:fill="FCE8E6"/>
      </w:pPr>
      <w:r>
        <w:rPr>
          <w:b/>
          <w:color w:val="9B2C2C"/>
        </w:rPr>
        <w:t xml:space="preserve">Ratificeringsstatus: </w:t>
      </w:r>
      <w:r>
        <w:t>Bevar v1.0 som FOUNDATIONAL DRAFT. Gør den ikke bindende for alle teams, før fem P0-ændringer er gennemført og prøvet i mindst én reel højrisiko-use case.</w:t>
      </w:r>
    </w:p>
    <w:p>
      <w:pPr>
        <w:pageBreakBefore/>
        <w:spacing w:after="60"/>
      </w:pPr>
      <w:r>
        <w:rPr>
          <w:b/>
          <w:color w:val="667085"/>
          <w:sz w:val="18"/>
        </w:rPr>
        <w:t>REVIEW A · KAN UDVIKLERE FAKTISK BRUGE DET?</w:t>
      </w:r>
    </w:p>
    <w:p>
      <w:pPr>
        <w:pStyle w:val="Heading1"/>
      </w:pPr>
      <w:r>
        <w:t>1. Den skeptiske softwarearkitekt</w:t>
      </w:r>
    </w:p>
    <w:p>
      <w:pPr>
        <w:spacing w:before="100" w:after="180"/>
        <w:ind w:left="173" w:right="173"/>
        <w:shd w:fill="FFF4CE"/>
      </w:pPr>
      <w:r>
        <w:rPr>
          <w:b/>
          <w:color w:val="8A6400"/>
        </w:rPr>
        <w:t xml:space="preserve">Dom: </w:t>
      </w:r>
      <w:r>
        <w:t>Arkitekturen er logisk, men governance-overfladen er for stor. Uden en risikobaseret ‘happy path’ vil teams enten gå i stå eller opfinde uformelle genveje.</w:t>
      </w:r>
    </w:p>
    <w:p>
      <w:pPr>
        <w:pStyle w:val="Heading2"/>
      </w:pPr>
      <w:r>
        <w:t>Det der virker</w:t>
      </w:r>
    </w:p>
    <w:p>
      <w:pPr>
        <w:pStyle w:val="ListBullet"/>
        <w:spacing w:after="80" w:line="300" w:lineRule="auto"/>
      </w:pPr>
      <w:r>
        <w:t>Artefakttyperne har forskellige job; særligt PP → DP → ADR → PRD er en brugbar adskillelse.</w:t>
      </w:r>
    </w:p>
    <w:p>
      <w:pPr>
        <w:pStyle w:val="ListBullet"/>
        <w:spacing w:after="80" w:line="300" w:lineRule="auto"/>
      </w:pPr>
      <w:r>
        <w:t>Bidirektionel sporbarhed og normative diffs er stærke invariants.</w:t>
      </w:r>
    </w:p>
    <w:p>
      <w:pPr>
        <w:pStyle w:val="ListBullet"/>
        <w:spacing w:after="80" w:line="300" w:lineRule="auto"/>
      </w:pPr>
      <w:r>
        <w:t>ADR-template, review-triggers og rollback gør beslutninger reversible og historisk forståelige.</w:t>
      </w:r>
    </w:p>
    <w:p>
      <w:pPr>
        <w:pStyle w:val="ListBullet"/>
        <w:spacing w:after="80" w:line="300" w:lineRule="auto"/>
      </w:pPr>
      <w:r>
        <w:t>CONTESTED-status og anti-laundering-reglen rammer reelle arkitekturproblemer.</w:t>
      </w:r>
    </w:p>
    <w:p>
      <w:pPr>
        <w:pStyle w:val="Heading2"/>
      </w:pPr>
      <w:r>
        <w:t>Hvor kompleksiteten bliver dysfunktionel</w:t>
      </w:r>
    </w:p>
    <w:p>
      <w:pPr>
        <w:pStyle w:val="ListBullet"/>
        <w:spacing w:after="80" w:line="300" w:lineRule="auto"/>
      </w:pPr>
      <w:r>
        <w:t>Tolv dokumenttyper og ni råd skaber en potentiel mange-til-mange-godkendelsesgraf. Ingen maksimal beslutningslatens eller eskalations-SLA er angivet.</w:t>
      </w:r>
    </w:p>
    <w:p>
      <w:pPr>
        <w:pStyle w:val="ListBullet"/>
        <w:spacing w:after="80" w:line="300" w:lineRule="auto"/>
      </w:pPr>
      <w:r>
        <w:t>Alle ‘væsentlige’ beslutninger kræver fuld kæde, men væsentlighed er ikke operationaliseret. Det inviterer til enten overklassifikation eller bagatellisering.</w:t>
      </w:r>
    </w:p>
    <w:p>
      <w:pPr>
        <w:pStyle w:val="ListBullet"/>
        <w:spacing w:after="80" w:line="300" w:lineRule="auto"/>
      </w:pPr>
      <w:r>
        <w:t>LEX er tværgående bindende, men rangforholdet til Constitutionen og domænespecifikke definitioner kan skabe semantiske deadlocks.</w:t>
      </w:r>
    </w:p>
    <w:p>
      <w:pPr>
        <w:pStyle w:val="ListBullet"/>
        <w:spacing w:after="80" w:line="300" w:lineRule="auto"/>
      </w:pPr>
      <w:r>
        <w:t>Product Council + Safety Board som releasegodkendere kan give delt ansvar uden angivet tie-breaker.</w:t>
      </w:r>
    </w:p>
    <w:p>
      <w:pPr>
        <w:pStyle w:val="ListBullet"/>
        <w:spacing w:after="80" w:line="300" w:lineRule="auto"/>
      </w:pPr>
      <w:r>
        <w:t>Frameworket siger, hvilke dokumenter der skal findes, men ikke hvilket register, schema, linkintegritet eller automatiseret kontrol der er minimum.</w:t>
      </w:r>
    </w:p>
    <w:p>
      <w:pPr>
        <w:pStyle w:val="Heading2"/>
      </w:pPr>
      <w:r>
        <w:t>Angreb fra en intelligent udvikler</w:t>
      </w:r>
    </w:p>
    <w:p>
      <w:r>
        <w:rPr>
          <w:rFonts w:ascii="Calibri" w:hAnsi="Calibri"/>
          <w:i w:val="0"/>
          <w:sz w:val="22"/>
        </w:rPr>
        <w:t>‘Jeg kan gøre alt grønt ved at skrive artefakter efter implementeringen.’ Frameworket kræver sporbarhed, men mangler en uafhængig evidensregel for rækkefølge, authorship, faktisk review og forbindelsen mellem godkendt krav og den eksekverende systemversion.</w:t>
      </w:r>
    </w:p>
    <w:p>
      <w:pPr>
        <w:pStyle w:val="Heading2"/>
      </w:pPr>
      <w:r>
        <w:t>Krav før drift</w:t>
      </w:r>
    </w:p>
    <w:p>
      <w:pPr>
        <w:pStyle w:val="ListNumber"/>
        <w:spacing w:after="80" w:line="300" w:lineRule="auto"/>
      </w:pPr>
      <w:r>
        <w:t>Indfør tre governance-profiler: Lite, Standard og High-risk med objektive tærskler.</w:t>
      </w:r>
    </w:p>
    <w:p>
      <w:pPr>
        <w:pStyle w:val="ListNumber"/>
        <w:spacing w:after="80" w:line="300" w:lineRule="auto"/>
      </w:pPr>
      <w:r>
        <w:t>Definér ét maskinlæsbart minimumsschema og én canonical registry; dokumenter må være views, ikke sandhedskilden.</w:t>
      </w:r>
    </w:p>
    <w:p>
      <w:pPr>
        <w:pStyle w:val="ListNumber"/>
        <w:spacing w:after="80" w:line="300" w:lineRule="auto"/>
      </w:pPr>
      <w:r>
        <w:t>Indfør timeboxes, quorum, stedfortræder og tie-breaker for hver gate.</w:t>
      </w:r>
    </w:p>
    <w:p>
      <w:pPr>
        <w:pStyle w:val="ListNumber"/>
        <w:spacing w:after="80" w:line="300" w:lineRule="auto"/>
      </w:pPr>
      <w:r>
        <w:t>Knyt PRD-acceptance criteria til tests, releaseversion og runtime-monitorering med automatisk linkkontrol.</w:t>
      </w:r>
    </w:p>
    <w:p>
      <w:pPr>
        <w:pStyle w:val="ListNumber"/>
        <w:spacing w:after="80" w:line="300" w:lineRule="auto"/>
      </w:pPr>
      <w:r>
        <w:t>Kør en ‘golden path’ fra observation til release på en konkret feature og mål arbejdstid og ventetid.</w:t>
      </w:r>
    </w:p>
    <w:p>
      <w:pPr>
        <w:pageBreakBefore/>
        <w:spacing w:after="60"/>
      </w:pPr>
      <w:r>
        <w:rPr>
          <w:b/>
          <w:color w:val="667085"/>
          <w:sz w:val="18"/>
        </w:rPr>
        <w:t>MINIMÉR UDEN AT UDHULE</w:t>
      </w:r>
    </w:p>
    <w:p>
      <w:pPr>
        <w:pStyle w:val="Heading1"/>
      </w:pPr>
      <w:r>
        <w:t>2. Arkitektens forenklingsforslag</w:t>
      </w:r>
    </w:p>
    <w:tbl>
      <w:tblPr>
        <w:tblW w:type="dxa" w:w="9360"/>
        <w:jc w:val="left"/>
        <w:tblLayout w:type="fixed"/>
        <w:tblLook w:firstColumn="1" w:firstRow="1" w:lastColumn="0" w:lastRow="0" w:noHBand="0" w:noVBand="1" w:val="04A0"/>
        <w:tblInd w:w="120" w:type="dxa"/>
      </w:tblPr>
      <w:tblGrid>
        <w:gridCol w:w="2592"/>
        <w:gridCol w:w="4032"/>
        <w:gridCol w:w="2736"/>
      </w:tblGrid>
      <w:tr>
        <w:trPr>
          <w:tblHeader/>
        </w:trPr>
        <w:tc>
          <w:tcPr>
            <w:tcW w:type="dxa" w:w="2592"/>
            <w:tcMar>
              <w:top w:w="90" w:type="dxa"/>
              <w:start w:w="120" w:type="dxa"/>
              <w:bottom w:w="90" w:type="dxa"/>
              <w:end w:w="120" w:type="dxa"/>
            </w:tcMar>
            <w:vAlign w:val="center"/>
          </w:tcPr>
          <w:p>
            <w:pPr>
              <w:shd w:fill="DCE6EB"/>
            </w:pPr>
            <w:r>
              <w:rPr>
                <w:b/>
                <w:color w:val="15324A"/>
                <w:sz w:val="16"/>
              </w:rPr>
              <w:t>Nuværende konstruktion</w:t>
            </w:r>
          </w:p>
        </w:tc>
        <w:tc>
          <w:tcPr>
            <w:tcW w:type="dxa" w:w="4032"/>
            <w:tcMar>
              <w:top w:w="90" w:type="dxa"/>
              <w:start w:w="120" w:type="dxa"/>
              <w:bottom w:w="90" w:type="dxa"/>
              <w:end w:w="120" w:type="dxa"/>
            </w:tcMar>
            <w:vAlign w:val="center"/>
          </w:tcPr>
          <w:p>
            <w:pPr>
              <w:shd w:fill="DCE6EB"/>
            </w:pPr>
            <w:r>
              <w:rPr>
                <w:b/>
                <w:color w:val="15324A"/>
                <w:sz w:val="16"/>
              </w:rPr>
              <w:t>Stress-testet ændring</w:t>
            </w:r>
          </w:p>
        </w:tc>
        <w:tc>
          <w:tcPr>
            <w:tcW w:type="dxa" w:w="2736"/>
            <w:tcMar>
              <w:top w:w="90" w:type="dxa"/>
              <w:start w:w="120" w:type="dxa"/>
              <w:bottom w:w="90" w:type="dxa"/>
              <w:end w:w="120" w:type="dxa"/>
            </w:tcMar>
            <w:vAlign w:val="center"/>
          </w:tcPr>
          <w:p>
            <w:pPr>
              <w:shd w:fill="DCE6EB"/>
            </w:pPr>
            <w:r>
              <w:rPr>
                <w:b/>
                <w:color w:val="15324A"/>
                <w:sz w:val="16"/>
              </w:rPr>
              <w:t>Begrundelse</w:t>
            </w:r>
          </w:p>
        </w:tc>
      </w:tr>
      <w:tr>
        <w:tc>
          <w:tcPr>
            <w:tcW w:type="dxa" w:w="2592"/>
            <w:tcMar>
              <w:top w:w="90" w:type="dxa"/>
              <w:start w:w="120" w:type="dxa"/>
              <w:bottom w:w="90" w:type="dxa"/>
              <w:end w:w="120" w:type="dxa"/>
            </w:tcMar>
            <w:vAlign w:val="center"/>
          </w:tcPr>
          <w:p>
            <w:pPr>
              <w:spacing w:after="0" w:line="259" w:lineRule="auto"/>
            </w:pPr>
            <w:r>
              <w:rPr>
                <w:sz w:val="16"/>
              </w:rPr>
              <w:t>12 dokumenttyper</w:t>
            </w:r>
          </w:p>
        </w:tc>
        <w:tc>
          <w:tcPr>
            <w:tcW w:type="dxa" w:w="4032"/>
            <w:tcMar>
              <w:top w:w="90" w:type="dxa"/>
              <w:start w:w="120" w:type="dxa"/>
              <w:bottom w:w="90" w:type="dxa"/>
              <w:end w:w="120" w:type="dxa"/>
            </w:tcMar>
            <w:vAlign w:val="center"/>
          </w:tcPr>
          <w:p>
            <w:pPr>
              <w:spacing w:after="0" w:line="259" w:lineRule="auto"/>
            </w:pPr>
            <w:r>
              <w:rPr>
                <w:sz w:val="16"/>
              </w:rPr>
              <w:t>Bevar typerne logisk, men implementér dem i 6 repositories/views</w:t>
            </w:r>
          </w:p>
        </w:tc>
        <w:tc>
          <w:tcPr>
            <w:tcW w:type="dxa" w:w="2736"/>
            <w:tcMar>
              <w:top w:w="90" w:type="dxa"/>
              <w:start w:w="120" w:type="dxa"/>
              <w:bottom w:w="90" w:type="dxa"/>
              <w:end w:w="120" w:type="dxa"/>
            </w:tcMar>
            <w:vAlign w:val="center"/>
          </w:tcPr>
          <w:p>
            <w:pPr>
              <w:spacing w:after="0" w:line="259" w:lineRule="auto"/>
            </w:pPr>
            <w:r>
              <w:rPr>
                <w:sz w:val="16"/>
              </w:rPr>
              <w:t>Færre håndoffs; samme semantik</w:t>
            </w:r>
          </w:p>
        </w:tc>
      </w:tr>
      <w:tr>
        <w:tc>
          <w:tcPr>
            <w:tcW w:type="dxa" w:w="2592"/>
            <w:tcMar>
              <w:top w:w="90" w:type="dxa"/>
              <w:start w:w="120" w:type="dxa"/>
              <w:bottom w:w="90" w:type="dxa"/>
              <w:end w:w="120" w:type="dxa"/>
            </w:tcMar>
            <w:vAlign w:val="center"/>
          </w:tcPr>
          <w:p>
            <w:pPr>
              <w:shd w:fill="F7F9FA"/>
              <w:spacing w:after="0" w:line="259" w:lineRule="auto"/>
            </w:pPr>
            <w:r>
              <w:rPr>
                <w:sz w:val="16"/>
              </w:rPr>
              <w:t>9 permanente organer</w:t>
            </w:r>
          </w:p>
        </w:tc>
        <w:tc>
          <w:tcPr>
            <w:tcW w:type="dxa" w:w="4032"/>
            <w:tcMar>
              <w:top w:w="90" w:type="dxa"/>
              <w:start w:w="120" w:type="dxa"/>
              <w:bottom w:w="90" w:type="dxa"/>
              <w:end w:w="120" w:type="dxa"/>
            </w:tcMar>
            <w:vAlign w:val="center"/>
          </w:tcPr>
          <w:p>
            <w:pPr>
              <w:shd w:fill="F7F9FA"/>
              <w:spacing w:after="0" w:line="259" w:lineRule="auto"/>
            </w:pPr>
            <w:r>
              <w:rPr>
                <w:sz w:val="16"/>
              </w:rPr>
              <w:t>Start med 4 beslutningsfora og rollebaserede paneler</w:t>
            </w:r>
          </w:p>
        </w:tc>
        <w:tc>
          <w:tcPr>
            <w:tcW w:type="dxa" w:w="2736"/>
            <w:tcMar>
              <w:top w:w="90" w:type="dxa"/>
              <w:start w:w="120" w:type="dxa"/>
              <w:bottom w:w="90" w:type="dxa"/>
              <w:end w:w="120" w:type="dxa"/>
            </w:tcMar>
            <w:vAlign w:val="center"/>
          </w:tcPr>
          <w:p>
            <w:pPr>
              <w:shd w:fill="F7F9FA"/>
              <w:spacing w:after="0" w:line="259" w:lineRule="auto"/>
            </w:pPr>
            <w:r>
              <w:rPr>
                <w:sz w:val="16"/>
              </w:rPr>
              <w:t>Undgår råd uden kapacitet</w:t>
            </w:r>
          </w:p>
        </w:tc>
      </w:tr>
      <w:tr>
        <w:tc>
          <w:tcPr>
            <w:tcW w:type="dxa" w:w="2592"/>
            <w:tcMar>
              <w:top w:w="90" w:type="dxa"/>
              <w:start w:w="120" w:type="dxa"/>
              <w:bottom w:w="90" w:type="dxa"/>
              <w:end w:w="120" w:type="dxa"/>
            </w:tcMar>
            <w:vAlign w:val="center"/>
          </w:tcPr>
          <w:p>
            <w:pPr>
              <w:spacing w:after="0" w:line="259" w:lineRule="auto"/>
            </w:pPr>
            <w:r>
              <w:rPr>
                <w:sz w:val="16"/>
              </w:rPr>
              <w:t>Fuld kæde for alt væsentligt</w:t>
            </w:r>
          </w:p>
        </w:tc>
        <w:tc>
          <w:tcPr>
            <w:tcW w:type="dxa" w:w="4032"/>
            <w:tcMar>
              <w:top w:w="90" w:type="dxa"/>
              <w:start w:w="120" w:type="dxa"/>
              <w:bottom w:w="90" w:type="dxa"/>
              <w:end w:w="120" w:type="dxa"/>
            </w:tcMar>
            <w:vAlign w:val="center"/>
          </w:tcPr>
          <w:p>
            <w:pPr>
              <w:spacing w:after="0" w:line="259" w:lineRule="auto"/>
            </w:pPr>
            <w:r>
              <w:rPr>
                <w:sz w:val="16"/>
              </w:rPr>
              <w:t>Risk tier bestemmer obligatoriske led</w:t>
            </w:r>
          </w:p>
        </w:tc>
        <w:tc>
          <w:tcPr>
            <w:tcW w:type="dxa" w:w="2736"/>
            <w:tcMar>
              <w:top w:w="90" w:type="dxa"/>
              <w:start w:w="120" w:type="dxa"/>
              <w:bottom w:w="90" w:type="dxa"/>
              <w:end w:w="120" w:type="dxa"/>
            </w:tcMar>
            <w:vAlign w:val="center"/>
          </w:tcPr>
          <w:p>
            <w:pPr>
              <w:spacing w:after="0" w:line="259" w:lineRule="auto"/>
            </w:pPr>
            <w:r>
              <w:rPr>
                <w:sz w:val="16"/>
              </w:rPr>
              <w:t>Proportionalitet og udvikleradoption</w:t>
            </w:r>
          </w:p>
        </w:tc>
      </w:tr>
      <w:tr>
        <w:tc>
          <w:tcPr>
            <w:tcW w:type="dxa" w:w="2592"/>
            <w:tcMar>
              <w:top w:w="90" w:type="dxa"/>
              <w:start w:w="120" w:type="dxa"/>
              <w:bottom w:w="90" w:type="dxa"/>
              <w:end w:w="120" w:type="dxa"/>
            </w:tcMar>
            <w:vAlign w:val="center"/>
          </w:tcPr>
          <w:p>
            <w:pPr>
              <w:shd w:fill="F7F9FA"/>
              <w:spacing w:after="0" w:line="259" w:lineRule="auto"/>
            </w:pPr>
            <w:r>
              <w:rPr>
                <w:sz w:val="16"/>
              </w:rPr>
              <w:t>Mange statusord</w:t>
            </w:r>
          </w:p>
        </w:tc>
        <w:tc>
          <w:tcPr>
            <w:tcW w:type="dxa" w:w="4032"/>
            <w:tcMar>
              <w:top w:w="90" w:type="dxa"/>
              <w:start w:w="120" w:type="dxa"/>
              <w:bottom w:w="90" w:type="dxa"/>
              <w:end w:w="120" w:type="dxa"/>
            </w:tcMar>
            <w:vAlign w:val="center"/>
          </w:tcPr>
          <w:p>
            <w:pPr>
              <w:shd w:fill="F7F9FA"/>
              <w:spacing w:after="0" w:line="259" w:lineRule="auto"/>
            </w:pPr>
            <w:r>
              <w:rPr>
                <w:sz w:val="16"/>
              </w:rPr>
              <w:t>Bevar lifecycle-status, men definér én state machine</w:t>
            </w:r>
          </w:p>
        </w:tc>
        <w:tc>
          <w:tcPr>
            <w:tcW w:type="dxa" w:w="2736"/>
            <w:tcMar>
              <w:top w:w="90" w:type="dxa"/>
              <w:start w:w="120" w:type="dxa"/>
              <w:bottom w:w="90" w:type="dxa"/>
              <w:end w:w="120" w:type="dxa"/>
            </w:tcMar>
            <w:vAlign w:val="center"/>
          </w:tcPr>
          <w:p>
            <w:pPr>
              <w:shd w:fill="F7F9FA"/>
              <w:spacing w:after="0" w:line="259" w:lineRule="auto"/>
            </w:pPr>
            <w:r>
              <w:rPr>
                <w:sz w:val="16"/>
              </w:rPr>
              <w:t>Eliminerer lokale fortolkninger</w:t>
            </w:r>
          </w:p>
        </w:tc>
      </w:tr>
      <w:tr>
        <w:tc>
          <w:tcPr>
            <w:tcW w:type="dxa" w:w="2592"/>
            <w:tcMar>
              <w:top w:w="90" w:type="dxa"/>
              <w:start w:w="120" w:type="dxa"/>
              <w:bottom w:w="90" w:type="dxa"/>
              <w:end w:w="120" w:type="dxa"/>
            </w:tcMar>
            <w:vAlign w:val="center"/>
          </w:tcPr>
          <w:p>
            <w:pPr>
              <w:spacing w:after="0" w:line="259" w:lineRule="auto"/>
            </w:pPr>
            <w:r>
              <w:rPr>
                <w:sz w:val="16"/>
              </w:rPr>
              <w:t>Manuel bidirektionel sporbarhed</w:t>
            </w:r>
          </w:p>
        </w:tc>
        <w:tc>
          <w:tcPr>
            <w:tcW w:type="dxa" w:w="4032"/>
            <w:tcMar>
              <w:top w:w="90" w:type="dxa"/>
              <w:start w:w="120" w:type="dxa"/>
              <w:bottom w:w="90" w:type="dxa"/>
              <w:end w:w="120" w:type="dxa"/>
            </w:tcMar>
            <w:vAlign w:val="center"/>
          </w:tcPr>
          <w:p>
            <w:pPr>
              <w:spacing w:after="0" w:line="259" w:lineRule="auto"/>
            </w:pPr>
            <w:r>
              <w:rPr>
                <w:sz w:val="16"/>
              </w:rPr>
              <w:t>Automatisk graph-check i build/release</w:t>
            </w:r>
          </w:p>
        </w:tc>
        <w:tc>
          <w:tcPr>
            <w:tcW w:type="dxa" w:w="2736"/>
            <w:tcMar>
              <w:top w:w="90" w:type="dxa"/>
              <w:start w:w="120" w:type="dxa"/>
              <w:bottom w:w="90" w:type="dxa"/>
              <w:end w:w="120" w:type="dxa"/>
            </w:tcMar>
            <w:vAlign w:val="center"/>
          </w:tcPr>
          <w:p>
            <w:pPr>
              <w:spacing w:after="0" w:line="259" w:lineRule="auto"/>
            </w:pPr>
            <w:r>
              <w:rPr>
                <w:sz w:val="16"/>
              </w:rPr>
              <w:t>Gør invariant testbar</w:t>
            </w:r>
          </w:p>
        </w:tc>
      </w:tr>
      <w:tr>
        <w:tc>
          <w:tcPr>
            <w:tcW w:type="dxa" w:w="2592"/>
            <w:tcMar>
              <w:top w:w="90" w:type="dxa"/>
              <w:start w:w="120" w:type="dxa"/>
              <w:bottom w:w="90" w:type="dxa"/>
              <w:end w:w="120" w:type="dxa"/>
            </w:tcMar>
            <w:vAlign w:val="center"/>
          </w:tcPr>
          <w:p>
            <w:pPr>
              <w:shd w:fill="F7F9FA"/>
              <w:spacing w:after="0" w:line="259" w:lineRule="auto"/>
            </w:pPr>
            <w:r>
              <w:rPr>
                <w:sz w:val="16"/>
              </w:rPr>
              <w:t>Flere samtidige godkendere</w:t>
            </w:r>
          </w:p>
        </w:tc>
        <w:tc>
          <w:tcPr>
            <w:tcW w:type="dxa" w:w="4032"/>
            <w:tcMar>
              <w:top w:w="90" w:type="dxa"/>
              <w:start w:w="120" w:type="dxa"/>
              <w:bottom w:w="90" w:type="dxa"/>
              <w:end w:w="120" w:type="dxa"/>
            </w:tcMar>
            <w:vAlign w:val="center"/>
          </w:tcPr>
          <w:p>
            <w:pPr>
              <w:shd w:fill="F7F9FA"/>
              <w:spacing w:after="0" w:line="259" w:lineRule="auto"/>
            </w:pPr>
            <w:r>
              <w:rPr>
                <w:sz w:val="16"/>
              </w:rPr>
              <w:t>Én accountable gate owner; obligatoriske concurrences</w:t>
            </w:r>
          </w:p>
        </w:tc>
        <w:tc>
          <w:tcPr>
            <w:tcW w:type="dxa" w:w="2736"/>
            <w:tcMar>
              <w:top w:w="90" w:type="dxa"/>
              <w:start w:w="120" w:type="dxa"/>
              <w:bottom w:w="90" w:type="dxa"/>
              <w:end w:w="120" w:type="dxa"/>
            </w:tcMar>
            <w:vAlign w:val="center"/>
          </w:tcPr>
          <w:p>
            <w:pPr>
              <w:shd w:fill="F7F9FA"/>
              <w:spacing w:after="0" w:line="259" w:lineRule="auto"/>
            </w:pPr>
            <w:r>
              <w:rPr>
                <w:sz w:val="16"/>
              </w:rPr>
              <w:t>Fjerner ansvarspulverisering</w:t>
            </w:r>
          </w:p>
        </w:tc>
      </w:tr>
    </w:tbl>
    <w:p>
      <w:pPr>
        <w:spacing w:after="0"/>
      </w:pPr>
    </w:p>
    <w:p>
      <w:pPr>
        <w:spacing w:before="100" w:after="180"/>
        <w:ind w:left="173" w:right="173"/>
        <w:shd w:fill="E6F4EA"/>
      </w:pPr>
      <w:r>
        <w:rPr>
          <w:b/>
          <w:color w:val="216E39"/>
        </w:rPr>
        <w:t xml:space="preserve">Arkitektens accepttest: </w:t>
      </w:r>
      <w:r>
        <w:t>En ny udvikler skal på under to timer kunne klassificere en ændring, finde de obligatoriske artefakter og åbne en komplet change proposal uden mundtlig hjælp. Et standard-change skal kunne godkendes uden møde.</w:t>
      </w:r>
    </w:p>
    <w:p>
      <w:pPr>
        <w:pageBreakBefore/>
        <w:spacing w:after="60"/>
      </w:pPr>
      <w:r>
        <w:rPr>
          <w:b/>
          <w:color w:val="667085"/>
          <w:sz w:val="18"/>
        </w:rPr>
        <w:t>REVIEW B · MDR OG AI ACT</w:t>
      </w:r>
    </w:p>
    <w:p>
      <w:pPr>
        <w:pStyle w:val="Heading1"/>
      </w:pPr>
      <w:r>
        <w:t>3. Den regulatoriske ekspert</w:t>
      </w:r>
    </w:p>
    <w:p>
      <w:pPr>
        <w:spacing w:before="100" w:after="180"/>
        <w:ind w:left="173" w:right="173"/>
        <w:shd w:fill="FCE8E6"/>
      </w:pPr>
      <w:r>
        <w:rPr>
          <w:b/>
          <w:color w:val="9B2C2C"/>
        </w:rPr>
        <w:t xml:space="preserve">Regulatorisk dom: </w:t>
      </w:r>
      <w:r>
        <w:t>Frameworket er et godt overlay, men ikke et compliance-system. Det kan understøtte MDR og AI Act; det kan ikke dokumentere efterlevelse uden eksplicit scope, roller, QMS-processer, klassifikation og lovbestemte outputs.</w:t>
      </w:r>
    </w:p>
    <w:p>
      <w:pPr>
        <w:pStyle w:val="Heading2"/>
      </w:pPr>
      <w:r>
        <w:t>Utilstrækkeligt eller manglende</w:t>
      </w:r>
    </w:p>
    <w:tbl>
      <w:tblPr>
        <w:tblW w:type="dxa" w:w="9360"/>
        <w:jc w:val="left"/>
        <w:tblLayout w:type="fixed"/>
        <w:tblLook w:firstColumn="1" w:firstRow="1" w:lastColumn="0" w:lastRow="0" w:noHBand="0" w:noVBand="1" w:val="04A0"/>
        <w:tblInd w:w="120" w:type="dxa"/>
      </w:tblPr>
      <w:tblGrid>
        <w:gridCol w:w="1944"/>
        <w:gridCol w:w="3672"/>
        <w:gridCol w:w="3744"/>
      </w:tblGrid>
      <w:tr>
        <w:trPr>
          <w:tblHeader/>
        </w:trPr>
        <w:tc>
          <w:tcPr>
            <w:tcW w:type="dxa" w:w="1944"/>
            <w:tcMar>
              <w:top w:w="90" w:type="dxa"/>
              <w:start w:w="120" w:type="dxa"/>
              <w:bottom w:w="90" w:type="dxa"/>
              <w:end w:w="120" w:type="dxa"/>
            </w:tcMar>
            <w:vAlign w:val="center"/>
          </w:tcPr>
          <w:p>
            <w:pPr>
              <w:shd w:fill="DCE6EB"/>
            </w:pPr>
            <w:r>
              <w:rPr>
                <w:b/>
                <w:color w:val="15324A"/>
                <w:sz w:val="15"/>
              </w:rPr>
              <w:t>Område</w:t>
            </w:r>
          </w:p>
        </w:tc>
        <w:tc>
          <w:tcPr>
            <w:tcW w:type="dxa" w:w="3672"/>
            <w:tcMar>
              <w:top w:w="90" w:type="dxa"/>
              <w:start w:w="120" w:type="dxa"/>
              <w:bottom w:w="90" w:type="dxa"/>
              <w:end w:w="120" w:type="dxa"/>
            </w:tcMar>
            <w:vAlign w:val="center"/>
          </w:tcPr>
          <w:p>
            <w:pPr>
              <w:shd w:fill="DCE6EB"/>
            </w:pPr>
            <w:r>
              <w:rPr>
                <w:b/>
                <w:color w:val="15324A"/>
                <w:sz w:val="15"/>
              </w:rPr>
              <w:t>Hul i v1.0</w:t>
            </w:r>
          </w:p>
        </w:tc>
        <w:tc>
          <w:tcPr>
            <w:tcW w:type="dxa" w:w="3744"/>
            <w:tcMar>
              <w:top w:w="90" w:type="dxa"/>
              <w:start w:w="120" w:type="dxa"/>
              <w:bottom w:w="90" w:type="dxa"/>
              <w:end w:w="120" w:type="dxa"/>
            </w:tcMar>
            <w:vAlign w:val="center"/>
          </w:tcPr>
          <w:p>
            <w:pPr>
              <w:shd w:fill="DCE6EB"/>
            </w:pPr>
            <w:r>
              <w:rPr>
                <w:b/>
                <w:color w:val="15324A"/>
                <w:sz w:val="15"/>
              </w:rPr>
              <w:t>Nødvendig tilføjelse</w:t>
            </w:r>
          </w:p>
        </w:tc>
      </w:tr>
      <w:tr>
        <w:tc>
          <w:tcPr>
            <w:tcW w:type="dxa" w:w="1944"/>
            <w:tcMar>
              <w:top w:w="90" w:type="dxa"/>
              <w:start w:w="120" w:type="dxa"/>
              <w:bottom w:w="90" w:type="dxa"/>
              <w:end w:w="120" w:type="dxa"/>
            </w:tcMar>
            <w:vAlign w:val="center"/>
          </w:tcPr>
          <w:p>
            <w:pPr>
              <w:spacing w:after="0" w:line="259" w:lineRule="auto"/>
            </w:pPr>
            <w:r>
              <w:rPr>
                <w:sz w:val="15"/>
              </w:rPr>
              <w:t>Qualification &amp; intended purpose</w:t>
            </w:r>
          </w:p>
        </w:tc>
        <w:tc>
          <w:tcPr>
            <w:tcW w:type="dxa" w:w="3672"/>
            <w:tcMar>
              <w:top w:w="90" w:type="dxa"/>
              <w:start w:w="120" w:type="dxa"/>
              <w:bottom w:w="90" w:type="dxa"/>
              <w:end w:w="120" w:type="dxa"/>
            </w:tcMar>
            <w:vAlign w:val="center"/>
          </w:tcPr>
          <w:p>
            <w:pPr>
              <w:spacing w:after="0" w:line="259" w:lineRule="auto"/>
            </w:pPr>
            <w:r>
              <w:rPr>
                <w:sz w:val="15"/>
              </w:rPr>
              <w:t>Ingen bindende afgørelse af medicinsk formål, MDSW-status eller risikoklasse</w:t>
            </w:r>
          </w:p>
        </w:tc>
        <w:tc>
          <w:tcPr>
            <w:tcW w:type="dxa" w:w="3744"/>
            <w:tcMar>
              <w:top w:w="90" w:type="dxa"/>
              <w:start w:w="120" w:type="dxa"/>
              <w:bottom w:w="90" w:type="dxa"/>
              <w:end w:w="120" w:type="dxa"/>
            </w:tcMar>
            <w:vAlign w:val="center"/>
          </w:tcPr>
          <w:p>
            <w:pPr>
              <w:spacing w:after="0" w:line="259" w:lineRule="auto"/>
            </w:pPr>
            <w:r>
              <w:rPr>
                <w:sz w:val="15"/>
              </w:rPr>
              <w:t>Regulatory Classification Record pr. produkt/use case</w:t>
            </w:r>
          </w:p>
        </w:tc>
      </w:tr>
      <w:tr>
        <w:tc>
          <w:tcPr>
            <w:tcW w:type="dxa" w:w="1944"/>
            <w:tcMar>
              <w:top w:w="90" w:type="dxa"/>
              <w:start w:w="120" w:type="dxa"/>
              <w:bottom w:w="90" w:type="dxa"/>
              <w:end w:w="120" w:type="dxa"/>
            </w:tcMar>
            <w:vAlign w:val="center"/>
          </w:tcPr>
          <w:p>
            <w:pPr>
              <w:shd w:fill="F7F9FA"/>
              <w:spacing w:after="0" w:line="259" w:lineRule="auto"/>
            </w:pPr>
            <w:r>
              <w:rPr>
                <w:sz w:val="15"/>
              </w:rPr>
              <w:t>Økonomiske aktørroller</w:t>
            </w:r>
          </w:p>
        </w:tc>
        <w:tc>
          <w:tcPr>
            <w:tcW w:type="dxa" w:w="3672"/>
            <w:tcMar>
              <w:top w:w="90" w:type="dxa"/>
              <w:start w:w="120" w:type="dxa"/>
              <w:bottom w:w="90" w:type="dxa"/>
              <w:end w:w="120" w:type="dxa"/>
            </w:tcMar>
            <w:vAlign w:val="center"/>
          </w:tcPr>
          <w:p>
            <w:pPr>
              <w:shd w:fill="F7F9FA"/>
              <w:spacing w:after="0" w:line="259" w:lineRule="auto"/>
            </w:pPr>
            <w:r>
              <w:rPr>
                <w:sz w:val="15"/>
              </w:rPr>
              <w:t>Organer er interne; fabrikant/provider/deployer/importør m.fl. er ikke mappet</w:t>
            </w:r>
          </w:p>
        </w:tc>
        <w:tc>
          <w:tcPr>
            <w:tcW w:type="dxa" w:w="3744"/>
            <w:tcMar>
              <w:top w:w="90" w:type="dxa"/>
              <w:start w:w="120" w:type="dxa"/>
              <w:bottom w:w="90" w:type="dxa"/>
              <w:end w:w="120" w:type="dxa"/>
            </w:tcMar>
            <w:vAlign w:val="center"/>
          </w:tcPr>
          <w:p>
            <w:pPr>
              <w:shd w:fill="F7F9FA"/>
              <w:spacing w:after="0" w:line="259" w:lineRule="auto"/>
            </w:pPr>
            <w:r>
              <w:rPr>
                <w:sz w:val="15"/>
              </w:rPr>
              <w:t>Legal accountability map med navngivne juridiske enheder</w:t>
            </w:r>
          </w:p>
        </w:tc>
      </w:tr>
      <w:tr>
        <w:tc>
          <w:tcPr>
            <w:tcW w:type="dxa" w:w="1944"/>
            <w:tcMar>
              <w:top w:w="90" w:type="dxa"/>
              <w:start w:w="120" w:type="dxa"/>
              <w:bottom w:w="90" w:type="dxa"/>
              <w:end w:w="120" w:type="dxa"/>
            </w:tcMar>
            <w:vAlign w:val="center"/>
          </w:tcPr>
          <w:p>
            <w:pPr>
              <w:spacing w:after="0" w:line="259" w:lineRule="auto"/>
            </w:pPr>
            <w:r>
              <w:rPr>
                <w:sz w:val="15"/>
              </w:rPr>
              <w:t>QMS</w:t>
            </w:r>
          </w:p>
        </w:tc>
        <w:tc>
          <w:tcPr>
            <w:tcW w:type="dxa" w:w="3672"/>
            <w:tcMar>
              <w:top w:w="90" w:type="dxa"/>
              <w:start w:w="120" w:type="dxa"/>
              <w:bottom w:w="90" w:type="dxa"/>
              <w:end w:w="120" w:type="dxa"/>
            </w:tcMar>
            <w:vAlign w:val="center"/>
          </w:tcPr>
          <w:p>
            <w:pPr>
              <w:spacing w:after="0" w:line="259" w:lineRule="auto"/>
            </w:pPr>
            <w:r>
              <w:rPr>
                <w:sz w:val="15"/>
              </w:rPr>
              <w:t>Governance-artefakter er ikke koblet til dokumentkontrol, CAPA, træning, supplier control og audits</w:t>
            </w:r>
          </w:p>
        </w:tc>
        <w:tc>
          <w:tcPr>
            <w:tcW w:type="dxa" w:w="3744"/>
            <w:tcMar>
              <w:top w:w="90" w:type="dxa"/>
              <w:start w:w="120" w:type="dxa"/>
              <w:bottom w:w="90" w:type="dxa"/>
              <w:end w:w="120" w:type="dxa"/>
            </w:tcMar>
            <w:vAlign w:val="center"/>
          </w:tcPr>
          <w:p>
            <w:pPr>
              <w:spacing w:after="0" w:line="259" w:lineRule="auto"/>
            </w:pPr>
            <w:r>
              <w:rPr>
                <w:sz w:val="15"/>
              </w:rPr>
              <w:t>QMS crosswalk og kontrollerede SOP’er</w:t>
            </w:r>
          </w:p>
        </w:tc>
      </w:tr>
      <w:tr>
        <w:tc>
          <w:tcPr>
            <w:tcW w:type="dxa" w:w="1944"/>
            <w:tcMar>
              <w:top w:w="90" w:type="dxa"/>
              <w:start w:w="120" w:type="dxa"/>
              <w:bottom w:w="90" w:type="dxa"/>
              <w:end w:w="120" w:type="dxa"/>
            </w:tcMar>
            <w:vAlign w:val="center"/>
          </w:tcPr>
          <w:p>
            <w:pPr>
              <w:shd w:fill="F7F9FA"/>
              <w:spacing w:after="0" w:line="259" w:lineRule="auto"/>
            </w:pPr>
            <w:r>
              <w:rPr>
                <w:sz w:val="15"/>
              </w:rPr>
              <w:t>Risk management</w:t>
            </w:r>
          </w:p>
        </w:tc>
        <w:tc>
          <w:tcPr>
            <w:tcW w:type="dxa" w:w="3672"/>
            <w:tcMar>
              <w:top w:w="90" w:type="dxa"/>
              <w:start w:w="120" w:type="dxa"/>
              <w:bottom w:w="90" w:type="dxa"/>
              <w:end w:w="120" w:type="dxa"/>
            </w:tcMar>
            <w:vAlign w:val="center"/>
          </w:tcPr>
          <w:p>
            <w:pPr>
              <w:shd w:fill="F7F9FA"/>
              <w:spacing w:after="0" w:line="259" w:lineRule="auto"/>
            </w:pPr>
            <w:r>
              <w:rPr>
                <w:sz w:val="15"/>
              </w:rPr>
              <w:t>CSC er argumentbaseret, men hazard management-livscyklus og benefit-risk er ikke fuldt specificeret</w:t>
            </w:r>
          </w:p>
        </w:tc>
        <w:tc>
          <w:tcPr>
            <w:tcW w:type="dxa" w:w="3744"/>
            <w:tcMar>
              <w:top w:w="90" w:type="dxa"/>
              <w:start w:w="120" w:type="dxa"/>
              <w:bottom w:w="90" w:type="dxa"/>
              <w:end w:w="120" w:type="dxa"/>
            </w:tcMar>
            <w:vAlign w:val="center"/>
          </w:tcPr>
          <w:p>
            <w:pPr>
              <w:shd w:fill="F7F9FA"/>
              <w:spacing w:after="0" w:line="259" w:lineRule="auto"/>
            </w:pPr>
            <w:r>
              <w:rPr>
                <w:sz w:val="15"/>
              </w:rPr>
              <w:t>Risk management file, acceptkriterier og change impact</w:t>
            </w:r>
          </w:p>
        </w:tc>
      </w:tr>
      <w:tr>
        <w:tc>
          <w:tcPr>
            <w:tcW w:type="dxa" w:w="1944"/>
            <w:tcMar>
              <w:top w:w="90" w:type="dxa"/>
              <w:start w:w="120" w:type="dxa"/>
              <w:bottom w:w="90" w:type="dxa"/>
              <w:end w:w="120" w:type="dxa"/>
            </w:tcMar>
            <w:vAlign w:val="center"/>
          </w:tcPr>
          <w:p>
            <w:pPr>
              <w:spacing w:after="0" w:line="259" w:lineRule="auto"/>
            </w:pPr>
            <w:r>
              <w:rPr>
                <w:sz w:val="15"/>
              </w:rPr>
              <w:t>Clinical evaluation</w:t>
            </w:r>
          </w:p>
        </w:tc>
        <w:tc>
          <w:tcPr>
            <w:tcW w:type="dxa" w:w="3672"/>
            <w:tcMar>
              <w:top w:w="90" w:type="dxa"/>
              <w:start w:w="120" w:type="dxa"/>
              <w:bottom w:w="90" w:type="dxa"/>
              <w:end w:w="120" w:type="dxa"/>
            </w:tcMar>
            <w:vAlign w:val="center"/>
          </w:tcPr>
          <w:p>
            <w:pPr>
              <w:spacing w:after="0" w:line="259" w:lineRule="auto"/>
            </w:pPr>
            <w:r>
              <w:rPr>
                <w:sz w:val="15"/>
              </w:rPr>
              <w:t>EP er generisk; intended purpose, clinical benefit, state of the art og PMCF er ikke obligatoriske</w:t>
            </w:r>
          </w:p>
        </w:tc>
        <w:tc>
          <w:tcPr>
            <w:tcW w:type="dxa" w:w="3744"/>
            <w:tcMar>
              <w:top w:w="90" w:type="dxa"/>
              <w:start w:w="120" w:type="dxa"/>
              <w:bottom w:w="90" w:type="dxa"/>
              <w:end w:w="120" w:type="dxa"/>
            </w:tcMar>
            <w:vAlign w:val="center"/>
          </w:tcPr>
          <w:p>
            <w:pPr>
              <w:spacing w:after="0" w:line="259" w:lineRule="auto"/>
            </w:pPr>
            <w:r>
              <w:rPr>
                <w:sz w:val="15"/>
              </w:rPr>
              <w:t>Clinical Evaluation Plan/Report og PMCF-plan efter scope</w:t>
            </w:r>
          </w:p>
        </w:tc>
      </w:tr>
      <w:tr>
        <w:tc>
          <w:tcPr>
            <w:tcW w:type="dxa" w:w="1944"/>
            <w:tcMar>
              <w:top w:w="90" w:type="dxa"/>
              <w:start w:w="120" w:type="dxa"/>
              <w:bottom w:w="90" w:type="dxa"/>
              <w:end w:w="120" w:type="dxa"/>
            </w:tcMar>
            <w:vAlign w:val="center"/>
          </w:tcPr>
          <w:p>
            <w:pPr>
              <w:shd w:fill="F7F9FA"/>
              <w:spacing w:after="0" w:line="259" w:lineRule="auto"/>
            </w:pPr>
            <w:r>
              <w:rPr>
                <w:sz w:val="15"/>
              </w:rPr>
              <w:t>AI data governance</w:t>
            </w:r>
          </w:p>
        </w:tc>
        <w:tc>
          <w:tcPr>
            <w:tcW w:type="dxa" w:w="3672"/>
            <w:tcMar>
              <w:top w:w="90" w:type="dxa"/>
              <w:start w:w="120" w:type="dxa"/>
              <w:bottom w:w="90" w:type="dxa"/>
              <w:end w:w="120" w:type="dxa"/>
            </w:tcMar>
            <w:vAlign w:val="center"/>
          </w:tcPr>
          <w:p>
            <w:pPr>
              <w:shd w:fill="F7F9FA"/>
              <w:spacing w:after="0" w:line="259" w:lineRule="auto"/>
            </w:pPr>
            <w:r>
              <w:rPr>
                <w:sz w:val="15"/>
              </w:rPr>
              <w:t>Provenance nævnes, men datasætkrav, repræsentativitet, bias, lineage og datafejl mangler</w:t>
            </w:r>
          </w:p>
        </w:tc>
        <w:tc>
          <w:tcPr>
            <w:tcW w:type="dxa" w:w="3744"/>
            <w:tcMar>
              <w:top w:w="90" w:type="dxa"/>
              <w:start w:w="120" w:type="dxa"/>
              <w:bottom w:w="90" w:type="dxa"/>
              <w:end w:w="120" w:type="dxa"/>
            </w:tcMar>
            <w:vAlign w:val="center"/>
          </w:tcPr>
          <w:p>
            <w:pPr>
              <w:shd w:fill="F7F9FA"/>
              <w:spacing w:after="0" w:line="259" w:lineRule="auto"/>
            </w:pPr>
            <w:r>
              <w:rPr>
                <w:sz w:val="15"/>
              </w:rPr>
              <w:t>AI data governance plan og dataset dossier</w:t>
            </w:r>
          </w:p>
        </w:tc>
      </w:tr>
      <w:tr>
        <w:tc>
          <w:tcPr>
            <w:tcW w:type="dxa" w:w="1944"/>
            <w:tcMar>
              <w:top w:w="90" w:type="dxa"/>
              <w:start w:w="120" w:type="dxa"/>
              <w:bottom w:w="90" w:type="dxa"/>
              <w:end w:w="120" w:type="dxa"/>
            </w:tcMar>
            <w:vAlign w:val="center"/>
          </w:tcPr>
          <w:p>
            <w:pPr>
              <w:spacing w:after="0" w:line="259" w:lineRule="auto"/>
            </w:pPr>
            <w:r>
              <w:rPr>
                <w:sz w:val="15"/>
              </w:rPr>
              <w:t>Human oversight &amp; transparency</w:t>
            </w:r>
          </w:p>
        </w:tc>
        <w:tc>
          <w:tcPr>
            <w:tcW w:type="dxa" w:w="3672"/>
            <w:tcMar>
              <w:top w:w="90" w:type="dxa"/>
              <w:start w:w="120" w:type="dxa"/>
              <w:bottom w:w="90" w:type="dxa"/>
              <w:end w:w="120" w:type="dxa"/>
            </w:tcMar>
            <w:vAlign w:val="center"/>
          </w:tcPr>
          <w:p>
            <w:pPr>
              <w:spacing w:after="0" w:line="259" w:lineRule="auto"/>
            </w:pPr>
            <w:r>
              <w:rPr>
                <w:sz w:val="15"/>
              </w:rPr>
              <w:t>‘Human control’ er upræcist; kompetence, instruktioner, forståelse og override-effekt testes ikke</w:t>
            </w:r>
          </w:p>
        </w:tc>
        <w:tc>
          <w:tcPr>
            <w:tcW w:type="dxa" w:w="3744"/>
            <w:tcMar>
              <w:top w:w="90" w:type="dxa"/>
              <w:start w:w="120" w:type="dxa"/>
              <w:bottom w:w="90" w:type="dxa"/>
              <w:end w:w="120" w:type="dxa"/>
            </w:tcMar>
            <w:vAlign w:val="center"/>
          </w:tcPr>
          <w:p>
            <w:pPr>
              <w:spacing w:after="0" w:line="259" w:lineRule="auto"/>
            </w:pPr>
            <w:r>
              <w:rPr>
                <w:sz w:val="15"/>
              </w:rPr>
              <w:t>Human Oversight Plan + IFU/transparency evidence</w:t>
            </w:r>
          </w:p>
        </w:tc>
      </w:tr>
      <w:tr>
        <w:tc>
          <w:tcPr>
            <w:tcW w:type="dxa" w:w="1944"/>
            <w:tcMar>
              <w:top w:w="90" w:type="dxa"/>
              <w:start w:w="120" w:type="dxa"/>
              <w:bottom w:w="90" w:type="dxa"/>
              <w:end w:w="120" w:type="dxa"/>
            </w:tcMar>
            <w:vAlign w:val="center"/>
          </w:tcPr>
          <w:p>
            <w:pPr>
              <w:shd w:fill="F7F9FA"/>
              <w:spacing w:after="0" w:line="259" w:lineRule="auto"/>
            </w:pPr>
            <w:r>
              <w:rPr>
                <w:sz w:val="15"/>
              </w:rPr>
              <w:t>Logging &amp; retention</w:t>
            </w:r>
          </w:p>
        </w:tc>
        <w:tc>
          <w:tcPr>
            <w:tcW w:type="dxa" w:w="3672"/>
            <w:tcMar>
              <w:top w:w="90" w:type="dxa"/>
              <w:start w:w="120" w:type="dxa"/>
              <w:bottom w:w="90" w:type="dxa"/>
              <w:end w:w="120" w:type="dxa"/>
            </w:tcMar>
            <w:vAlign w:val="center"/>
          </w:tcPr>
          <w:p>
            <w:pPr>
              <w:shd w:fill="F7F9FA"/>
              <w:spacing w:after="0" w:line="259" w:lineRule="auto"/>
            </w:pPr>
            <w:r>
              <w:rPr>
                <w:sz w:val="15"/>
              </w:rPr>
              <w:t>Versionering findes, men logdesign, adgang, retention og privatlivskonflikt er ikke fastlagt</w:t>
            </w:r>
          </w:p>
        </w:tc>
        <w:tc>
          <w:tcPr>
            <w:tcW w:type="dxa" w:w="3744"/>
            <w:tcMar>
              <w:top w:w="90" w:type="dxa"/>
              <w:start w:w="120" w:type="dxa"/>
              <w:bottom w:w="90" w:type="dxa"/>
              <w:end w:w="120" w:type="dxa"/>
            </w:tcMar>
            <w:vAlign w:val="center"/>
          </w:tcPr>
          <w:p>
            <w:pPr>
              <w:shd w:fill="F7F9FA"/>
              <w:spacing w:after="0" w:line="259" w:lineRule="auto"/>
            </w:pPr>
            <w:r>
              <w:rPr>
                <w:sz w:val="15"/>
              </w:rPr>
              <w:t>Logging specification og retention schedule</w:t>
            </w:r>
          </w:p>
        </w:tc>
      </w:tr>
      <w:tr>
        <w:tc>
          <w:tcPr>
            <w:tcW w:type="dxa" w:w="1944"/>
            <w:tcMar>
              <w:top w:w="90" w:type="dxa"/>
              <w:start w:w="120" w:type="dxa"/>
              <w:bottom w:w="90" w:type="dxa"/>
              <w:end w:w="120" w:type="dxa"/>
            </w:tcMar>
            <w:vAlign w:val="center"/>
          </w:tcPr>
          <w:p>
            <w:pPr>
              <w:spacing w:after="0" w:line="259" w:lineRule="auto"/>
            </w:pPr>
            <w:r>
              <w:rPr>
                <w:sz w:val="15"/>
              </w:rPr>
              <w:t>PMS/vigilance</w:t>
            </w:r>
          </w:p>
        </w:tc>
        <w:tc>
          <w:tcPr>
            <w:tcW w:type="dxa" w:w="3672"/>
            <w:tcMar>
              <w:top w:w="90" w:type="dxa"/>
              <w:start w:w="120" w:type="dxa"/>
              <w:bottom w:w="90" w:type="dxa"/>
              <w:end w:w="120" w:type="dxa"/>
            </w:tcMar>
            <w:vAlign w:val="center"/>
          </w:tcPr>
          <w:p>
            <w:pPr>
              <w:spacing w:after="0" w:line="259" w:lineRule="auto"/>
            </w:pPr>
            <w:r>
              <w:rPr>
                <w:sz w:val="15"/>
              </w:rPr>
              <w:t>ILR er læringsorienteret, men lovpligtig rapportering, trend, CAPA og myndighedsflow mangler</w:t>
            </w:r>
          </w:p>
        </w:tc>
        <w:tc>
          <w:tcPr>
            <w:tcW w:type="dxa" w:w="3744"/>
            <w:tcMar>
              <w:top w:w="90" w:type="dxa"/>
              <w:start w:w="120" w:type="dxa"/>
              <w:bottom w:w="90" w:type="dxa"/>
              <w:end w:w="120" w:type="dxa"/>
            </w:tcMar>
            <w:vAlign w:val="center"/>
          </w:tcPr>
          <w:p>
            <w:pPr>
              <w:spacing w:after="0" w:line="259" w:lineRule="auto"/>
            </w:pPr>
            <w:r>
              <w:rPr>
                <w:sz w:val="15"/>
              </w:rPr>
              <w:t>PMS plan, vigilance SOP og reportability decision</w:t>
            </w:r>
          </w:p>
        </w:tc>
      </w:tr>
      <w:tr>
        <w:tc>
          <w:tcPr>
            <w:tcW w:type="dxa" w:w="1944"/>
            <w:tcMar>
              <w:top w:w="90" w:type="dxa"/>
              <w:start w:w="120" w:type="dxa"/>
              <w:bottom w:w="90" w:type="dxa"/>
              <w:end w:w="120" w:type="dxa"/>
            </w:tcMar>
            <w:vAlign w:val="center"/>
          </w:tcPr>
          <w:p>
            <w:pPr>
              <w:shd w:fill="F7F9FA"/>
              <w:spacing w:after="0" w:line="259" w:lineRule="auto"/>
            </w:pPr>
            <w:r>
              <w:rPr>
                <w:sz w:val="15"/>
              </w:rPr>
              <w:t>Conformity &amp; change</w:t>
            </w:r>
          </w:p>
        </w:tc>
        <w:tc>
          <w:tcPr>
            <w:tcW w:type="dxa" w:w="3672"/>
            <w:tcMar>
              <w:top w:w="90" w:type="dxa"/>
              <w:start w:w="120" w:type="dxa"/>
              <w:bottom w:w="90" w:type="dxa"/>
              <w:end w:w="120" w:type="dxa"/>
            </w:tcMar>
            <w:vAlign w:val="center"/>
          </w:tcPr>
          <w:p>
            <w:pPr>
              <w:shd w:fill="F7F9FA"/>
              <w:spacing w:after="0" w:line="259" w:lineRule="auto"/>
            </w:pPr>
            <w:r>
              <w:rPr>
                <w:sz w:val="15"/>
              </w:rPr>
              <w:t>Release Dossier erstatter ikke teknisk dokumentation, conformity assessment eller substantial-change-vurdering</w:t>
            </w:r>
          </w:p>
        </w:tc>
        <w:tc>
          <w:tcPr>
            <w:tcW w:type="dxa" w:w="3744"/>
            <w:tcMar>
              <w:top w:w="90" w:type="dxa"/>
              <w:start w:w="120" w:type="dxa"/>
              <w:bottom w:w="90" w:type="dxa"/>
              <w:end w:w="120" w:type="dxa"/>
            </w:tcMar>
            <w:vAlign w:val="center"/>
          </w:tcPr>
          <w:p>
            <w:pPr>
              <w:shd w:fill="F7F9FA"/>
              <w:spacing w:after="0" w:line="259" w:lineRule="auto"/>
            </w:pPr>
            <w:r>
              <w:rPr>
                <w:sz w:val="15"/>
              </w:rPr>
              <w:t>Regulatory release checklist og change classification</w:t>
            </w:r>
          </w:p>
        </w:tc>
      </w:tr>
    </w:tbl>
    <w:p>
      <w:pPr>
        <w:spacing w:after="0"/>
      </w:pPr>
    </w:p>
    <w:p>
      <w:r>
        <w:rPr>
          <w:rFonts w:ascii="Calibri" w:hAnsi="Calibri"/>
          <w:i/>
          <w:sz w:val="22"/>
        </w:rPr>
        <w:t>Vurderingen bygger på EU-forordning 2017/745, især krav til kvalitetsledelse, klinisk evaluering og post-market surveillance, samt EU-forordning 2024/1689 om bl.a. risikostyring, data governance, teknisk dokumentation, logging, human oversight, kvalitetssystem og post-market monitoring. MDCG 2019-11 rev.1 (2025) understreger behovet for særskilt qualification og classification af software.</w:t>
      </w:r>
    </w:p>
    <w:p>
      <w:pPr>
        <w:pageBreakBefore/>
        <w:spacing w:after="60"/>
      </w:pPr>
      <w:r>
        <w:rPr>
          <w:b/>
          <w:color w:val="667085"/>
          <w:sz w:val="18"/>
        </w:rPr>
        <w:t>REGULERING ER ET GULV, IKKE AL GOVERNANCE</w:t>
      </w:r>
    </w:p>
    <w:p>
      <w:pPr>
        <w:pStyle w:val="Heading1"/>
      </w:pPr>
      <w:r>
        <w:t>4. Hvor frameworket er for ambitiøst</w:t>
      </w:r>
    </w:p>
    <w:p>
      <w:pPr>
        <w:pStyle w:val="ListBullet"/>
        <w:spacing w:after="80" w:line="300" w:lineRule="auto"/>
      </w:pPr>
      <w:r>
        <w:t>En Constitution med 20-årig horisont er ikke et regulatorisk krav og må ikke blandes sammen med QMS’ets kontrollerede dokumenthierarki.</w:t>
      </w:r>
    </w:p>
    <w:p>
      <w:pPr>
        <w:pStyle w:val="ListBullet"/>
        <w:spacing w:after="80" w:line="300" w:lineRule="auto"/>
      </w:pPr>
      <w:r>
        <w:t>75 % supermajoritet, patientrepræsentation ved alle constitutional changes og ni specialiserede organer kan være legitimt, men bør ikke fremstilles som nødvendigt for compliance.</w:t>
      </w:r>
    </w:p>
    <w:p>
      <w:pPr>
        <w:pStyle w:val="ListBullet"/>
        <w:spacing w:after="80" w:line="300" w:lineRule="auto"/>
      </w:pPr>
      <w:r>
        <w:t>Fuld reproduktion af ethvert evidence bundle for enhver beslutning kan overstige både relevans og databeskyttelsesmæssig proportionalitet; definer scope og retention.</w:t>
      </w:r>
    </w:p>
    <w:p>
      <w:pPr>
        <w:pStyle w:val="ListBullet"/>
        <w:spacing w:after="80" w:line="300" w:lineRule="auto"/>
      </w:pPr>
      <w:r>
        <w:t>Safety Case for enhver ændring, der ‘kan påvirke adfærd’, er for bredt. Den bør udløses af en dokumenteret safety-impact classification.</w:t>
      </w:r>
    </w:p>
    <w:p>
      <w:pPr>
        <w:pStyle w:val="ListBullet"/>
        <w:spacing w:after="80" w:line="300" w:lineRule="auto"/>
      </w:pPr>
      <w:r>
        <w:t>Public intern høring er et værdifuldt legitimationskrav, men kan kollidere med fortrolighed, security disclosure og lovbundne change deadlines.</w:t>
      </w:r>
    </w:p>
    <w:p>
      <w:pPr>
        <w:pStyle w:val="Heading2"/>
      </w:pPr>
      <w:r>
        <w:t>Regulatorisk arkitekturregel</w:t>
      </w:r>
    </w:p>
    <w:p>
      <w:r>
        <w:rPr>
          <w:rFonts w:ascii="Calibri" w:hAnsi="Calibri"/>
          <w:i w:val="0"/>
          <w:sz w:val="22"/>
        </w:rPr>
        <w:t>Cortex Governance må være et overliggende beslutningssystem. Juridisk compliance skal ligge i et separat, kontrolleret QMS-lag med eksplicit mapping. Ingen governance-godkendelse må fortolkes som CE-mærkning, conformity assessment eller myndighedsgodkendelse.</w:t>
      </w:r>
    </w:p>
    <w:p>
      <w:pPr>
        <w:spacing w:before="100" w:after="180"/>
        <w:ind w:left="173" w:right="173"/>
        <w:shd w:fill="FCE8E6"/>
      </w:pPr>
      <w:r>
        <w:rPr>
          <w:b/>
          <w:color w:val="9B2C2C"/>
        </w:rPr>
        <w:t xml:space="preserve">P0: </w:t>
      </w:r>
      <w:r>
        <w:t>Tilføj et Regulatory Applicability &amp; Classification Gate før Design. Gate-output skal fastlægge intended purpose, jurisdiktion, produkt-/aktørrolle, MDR/MDSW-status, AI Act-klassifikation, gældende standarder og ansvarligt QMS.</w:t>
      </w:r>
    </w:p>
    <w:p>
      <w:pPr>
        <w:pStyle w:val="Heading2"/>
      </w:pPr>
      <w:r>
        <w:t>Officielle referencepunkter</w:t>
      </w:r>
    </w:p>
    <w:p>
      <w:pPr>
        <w:pStyle w:val="ListBullet"/>
        <w:spacing w:after="80" w:line="300" w:lineRule="auto"/>
      </w:pPr>
      <w:r>
        <w:t>Regulation (EU) 2017/745 (MDR), EUR-Lex.</w:t>
      </w:r>
    </w:p>
    <w:p>
      <w:pPr>
        <w:pStyle w:val="ListBullet"/>
        <w:spacing w:after="80" w:line="300" w:lineRule="auto"/>
      </w:pPr>
      <w:r>
        <w:t>Regulation (EU) 2024/1689 (AI Act), EUR-Lex.</w:t>
      </w:r>
    </w:p>
    <w:p>
      <w:pPr>
        <w:pStyle w:val="ListBullet"/>
        <w:spacing w:after="80" w:line="300" w:lineRule="auto"/>
      </w:pPr>
      <w:r>
        <w:t>MDCG 2019-11 rev.1, Qualification and classification of software, juni 2025.</w:t>
      </w:r>
    </w:p>
    <w:p>
      <w:pPr>
        <w:pStyle w:val="ListBullet"/>
        <w:spacing w:after="80" w:line="300" w:lineRule="auto"/>
      </w:pPr>
      <w:r>
        <w:t>MDCG 2025-6, FAQ om samspillet mellem MDR/IVDR og AI Act, juni 2025.</w:t>
      </w:r>
    </w:p>
    <w:p>
      <w:pPr>
        <w:pageBreakBefore/>
        <w:spacing w:after="60"/>
      </w:pPr>
      <w:r>
        <w:rPr>
          <w:b/>
          <w:color w:val="667085"/>
          <w:sz w:val="18"/>
        </w:rPr>
        <w:t>REVIEW C · BLIVER KONSULTATIONEN BEDRE?</w:t>
      </w:r>
    </w:p>
    <w:p>
      <w:pPr>
        <w:pStyle w:val="Heading1"/>
      </w:pPr>
      <w:r>
        <w:t>5. Den praktiserende læge</w:t>
      </w:r>
    </w:p>
    <w:p>
      <w:pPr>
        <w:spacing w:before="100" w:after="180"/>
        <w:ind w:left="173" w:right="173"/>
        <w:shd w:fill="FFF4CE"/>
      </w:pPr>
      <w:r>
        <w:rPr>
          <w:b/>
          <w:color w:val="8A6400"/>
        </w:rPr>
        <w:t xml:space="preserve">Klinisk dom: </w:t>
      </w:r>
      <w:r>
        <w:t>Frameworket beskytter mange af forudsætningerne for god klinik, men det definerer ikke selve konsultationens succes. Derfor kan det efterleves perfekt uden mærkbar forbedring for læge eller patient.</w:t>
      </w:r>
    </w:p>
    <w:p>
      <w:pPr>
        <w:pStyle w:val="Heading2"/>
      </w:pPr>
      <w:r>
        <w:t>Lovende kliniske mekanismer</w:t>
      </w:r>
    </w:p>
    <w:p>
      <w:pPr>
        <w:pStyle w:val="ListBullet"/>
        <w:spacing w:after="80" w:line="300" w:lineRule="auto"/>
      </w:pPr>
      <w:r>
        <w:t>Usikkerhed må vises frem for at skjules; det kan reducere falsk sikkerhed.</w:t>
      </w:r>
    </w:p>
    <w:p>
      <w:pPr>
        <w:pStyle w:val="ListBullet"/>
        <w:spacing w:after="80" w:line="300" w:lineRule="auto"/>
      </w:pPr>
      <w:r>
        <w:t>Opmærksomhed, deskilling, automation bias og patientnærvær nævnes som reelle risici.</w:t>
      </w:r>
    </w:p>
    <w:p>
      <w:pPr>
        <w:pStyle w:val="ListBullet"/>
        <w:spacing w:after="80" w:line="300" w:lineRule="auto"/>
      </w:pPr>
      <w:r>
        <w:t>Safety-netting, subgroup-signaler, drift og organisatoriske fejl er inden for sikkerhedssynet.</w:t>
      </w:r>
    </w:p>
    <w:p>
      <w:pPr>
        <w:pStyle w:val="ListBullet"/>
        <w:spacing w:after="80" w:line="300" w:lineRule="auto"/>
      </w:pPr>
      <w:r>
        <w:t>Klinisk risiko må ikke accepteres alene af den, der ejer leveringsmålet.</w:t>
      </w:r>
    </w:p>
    <w:p>
      <w:pPr>
        <w:pStyle w:val="Heading2"/>
      </w:pPr>
      <w:r>
        <w:t>Det lægen stadig ikke kan se</w:t>
      </w:r>
    </w:p>
    <w:p>
      <w:pPr>
        <w:pStyle w:val="ListBullet"/>
        <w:spacing w:after="80" w:line="300" w:lineRule="auto"/>
      </w:pPr>
      <w:r>
        <w:t>Hvad er Cortex’ rolle før, under og efter konsultationen — hukommelse, sekretær, kritiker, anbefaler eller medbeslutter?</w:t>
      </w:r>
    </w:p>
    <w:p>
      <w:pPr>
        <w:pStyle w:val="ListBullet"/>
        <w:spacing w:after="80" w:line="300" w:lineRule="auto"/>
      </w:pPr>
      <w:r>
        <w:t>Hvilke afbrydelser, klik, alerts og forklaringer er acceptable i en 10–15 minutters konsultation?</w:t>
      </w:r>
    </w:p>
    <w:p>
      <w:pPr>
        <w:pStyle w:val="ListBullet"/>
        <w:spacing w:after="80" w:line="300" w:lineRule="auto"/>
      </w:pPr>
      <w:r>
        <w:t>Hvad skal patienten vide om systemets bidrag, og hvornår skal lægen kunne slukke eller tilsidesætte det?</w:t>
      </w:r>
    </w:p>
    <w:p>
      <w:pPr>
        <w:pStyle w:val="ListBullet"/>
        <w:spacing w:after="80" w:line="300" w:lineRule="auto"/>
      </w:pPr>
      <w:r>
        <w:t>Hvordan måles relation, fælles beslutningstagning, kontinuitet, diagnostisk bredde og efterarbejde?</w:t>
      </w:r>
    </w:p>
    <w:p>
      <w:pPr>
        <w:pStyle w:val="ListBullet"/>
        <w:spacing w:after="80" w:line="300" w:lineRule="auto"/>
      </w:pPr>
      <w:r>
        <w:t>Hvordan håndteres multimorbiditet, social kompleksitet, akut tidspres og afvigelse fra guidelines?</w:t>
      </w:r>
    </w:p>
    <w:p>
      <w:pPr>
        <w:pStyle w:val="Heading2"/>
      </w:pPr>
      <w:r>
        <w:t>Klinikerens angreb</w:t>
      </w:r>
    </w:p>
    <w:p>
      <w:r>
        <w:rPr>
          <w:rFonts w:ascii="Calibri" w:hAnsi="Calibri"/>
          <w:i w:val="0"/>
          <w:sz w:val="22"/>
        </w:rPr>
        <w:t>‘I har dokumenteret systemet, men gjort mig til sidste sikkerhedsbarriere uden tid, træning eller reel kontrol.’ Human oversight er kun meningsfuldt, hvis klinikeren kan forstå, undersøge, afvise og handle — og har organisatoriske betingelser for at gøre det.</w:t>
      </w:r>
    </w:p>
    <w:p>
      <w:pPr>
        <w:pStyle w:val="Heading2"/>
      </w:pPr>
      <w:r>
        <w:t>P0-ændring: Consultation Impact Standard</w:t>
      </w:r>
    </w:p>
    <w:p>
      <w:pPr>
        <w:pStyle w:val="ListBullet"/>
        <w:spacing w:after="80" w:line="300" w:lineRule="auto"/>
      </w:pPr>
      <w:r>
        <w:t>Definér tilsigtet klinisk arbejde og det arbejde, Cortex ikke må overtage.</w:t>
      </w:r>
    </w:p>
    <w:p>
      <w:pPr>
        <w:pStyle w:val="ListBullet"/>
        <w:spacing w:after="80" w:line="300" w:lineRule="auto"/>
      </w:pPr>
      <w:r>
        <w:t>Sæt et opmærksomheds- og interaktionsbudget pr. use case.</w:t>
      </w:r>
    </w:p>
    <w:p>
      <w:pPr>
        <w:pStyle w:val="ListBullet"/>
        <w:spacing w:after="80" w:line="300" w:lineRule="auto"/>
      </w:pPr>
      <w:r>
        <w:t>Kræv realistisk workflow-test med læger og patienter, ikke kun korrekt output.</w:t>
      </w:r>
    </w:p>
    <w:p>
      <w:pPr>
        <w:pStyle w:val="ListBullet"/>
        <w:spacing w:after="80" w:line="300" w:lineRule="auto"/>
      </w:pPr>
      <w:r>
        <w:t>Mål tidsforbrug, afbrydelser, override-kvalitet, tillidskalibrering, safety-netting og patientforståelse.</w:t>
      </w:r>
    </w:p>
    <w:p>
      <w:pPr>
        <w:pStyle w:val="ListBullet"/>
        <w:spacing w:after="80" w:line="300" w:lineRule="auto"/>
      </w:pPr>
      <w:r>
        <w:t>Gør bypass/fallback praktisk og ikke-straffende; overvåg systematiske workarounds som designsignal.</w:t>
      </w:r>
    </w:p>
    <w:p>
      <w:pPr>
        <w:pageBreakBefore/>
        <w:spacing w:after="60"/>
      </w:pPr>
      <w:r>
        <w:rPr>
          <w:b/>
          <w:color w:val="667085"/>
          <w:sz w:val="18"/>
        </w:rPr>
        <w:t>REVIEW D · KAN DET PRIORITERE OG SIGE NEJ?</w:t>
      </w:r>
    </w:p>
    <w:p>
      <w:pPr>
        <w:pStyle w:val="Heading1"/>
      </w:pPr>
      <w:r>
        <w:t>6. Den produktansvarlige</w:t>
      </w:r>
    </w:p>
    <w:p>
      <w:pPr>
        <w:spacing w:before="100" w:after="180"/>
        <w:ind w:left="173" w:right="173"/>
        <w:shd w:fill="FFF4CE"/>
      </w:pPr>
      <w:r>
        <w:rPr>
          <w:b/>
          <w:color w:val="8A6400"/>
        </w:rPr>
        <w:t xml:space="preserve">Produktdom: </w:t>
      </w:r>
      <w:r>
        <w:t>Ja, frameworket kan legitimt stoppe features, der bryder højere normer eller mangler bevis. Nej, det kan endnu ikke konsistent rangordne flere features, der alle er tilladelige.</w:t>
      </w:r>
    </w:p>
    <w:p>
      <w:pPr>
        <w:pStyle w:val="Heading2"/>
      </w:pPr>
      <w:r>
        <w:t>Stærk negationskraft</w:t>
      </w:r>
    </w:p>
    <w:p>
      <w:pPr>
        <w:pStyle w:val="ListBullet"/>
        <w:spacing w:after="80" w:line="300" w:lineRule="auto"/>
      </w:pPr>
      <w:r>
        <w:t>Anti-laundering forhindrer, at en normkonflikt skjules i en ADR.</w:t>
      </w:r>
    </w:p>
    <w:p>
      <w:pPr>
        <w:pStyle w:val="ListBullet"/>
        <w:spacing w:after="80" w:line="300" w:lineRule="auto"/>
      </w:pPr>
      <w:r>
        <w:t>Ingen spring i pipeline blokerer solution-first roadmaps.</w:t>
      </w:r>
    </w:p>
    <w:p>
      <w:pPr>
        <w:pStyle w:val="ListBullet"/>
        <w:spacing w:after="80" w:line="300" w:lineRule="auto"/>
      </w:pPr>
      <w:r>
        <w:t>Safety Case, Evaluation Protocol og Release Dossier kan gøre ‘ikke endnu’ konkret.</w:t>
      </w:r>
    </w:p>
    <w:p>
      <w:pPr>
        <w:pStyle w:val="ListBullet"/>
        <w:spacing w:after="80" w:line="300" w:lineRule="auto"/>
      </w:pPr>
      <w:r>
        <w:t>CONTESTED-status og releasehold gør governance kausalt, hvis organerne faktisk har mandat.</w:t>
      </w:r>
    </w:p>
    <w:p>
      <w:pPr>
        <w:pStyle w:val="Heading2"/>
      </w:pPr>
      <w:r>
        <w:t>Svag prioriteringskraft</w:t>
      </w:r>
    </w:p>
    <w:p>
      <w:pPr>
        <w:pStyle w:val="ListBullet"/>
        <w:spacing w:after="80" w:line="300" w:lineRule="auto"/>
      </w:pPr>
      <w:r>
        <w:t>Ingen fælles værdimodel for klinisk nytte, patientbyrde, arbejdsmiljø, lighed, risiko og strategisk læring.</w:t>
      </w:r>
    </w:p>
    <w:p>
      <w:pPr>
        <w:pStyle w:val="ListBullet"/>
        <w:spacing w:after="80" w:line="300" w:lineRule="auto"/>
      </w:pPr>
      <w:r>
        <w:t>Ingen regel for opportunity cost: en sikker feature kan stadig være forkert, hvis den fortrænger vigtigere arbejde.</w:t>
      </w:r>
    </w:p>
    <w:p>
      <w:pPr>
        <w:pStyle w:val="ListBullet"/>
        <w:spacing w:after="80" w:line="300" w:lineRule="auto"/>
      </w:pPr>
      <w:r>
        <w:t>Research Agenda prioriterer usikkerhed, men ikke produktporteføljen.</w:t>
      </w:r>
    </w:p>
    <w:p>
      <w:pPr>
        <w:pStyle w:val="ListBullet"/>
        <w:spacing w:after="80" w:line="300" w:lineRule="auto"/>
      </w:pPr>
      <w:r>
        <w:t>Product Council må prioritere ‘inden for højere normer’, men har ingen besluttet metode og kan derfor genindføre vilkårlighed.</w:t>
      </w:r>
    </w:p>
    <w:p>
      <w:pPr>
        <w:pStyle w:val="ListBullet"/>
        <w:spacing w:after="80" w:line="300" w:lineRule="auto"/>
      </w:pPr>
      <w:r>
        <w:t>Ingen kill criteria for features, der er sikre, men ikke skaber klinisk værdi.</w:t>
      </w:r>
    </w:p>
    <w:p>
      <w:pPr>
        <w:pStyle w:val="Heading2"/>
      </w:pPr>
      <w:r>
        <w:t>Roadmap Decision Record</w:t>
      </w:r>
    </w:p>
    <w:tbl>
      <w:tblPr>
        <w:tblW w:type="dxa" w:w="9360"/>
        <w:jc w:val="left"/>
        <w:tblLayout w:type="fixed"/>
        <w:tblLook w:firstColumn="1" w:firstRow="1" w:lastColumn="0" w:lastRow="0" w:noHBand="0" w:noVBand="1" w:val="04A0"/>
        <w:tblInd w:w="120" w:type="dxa"/>
      </w:tblPr>
      <w:tblGrid>
        <w:gridCol w:w="1944"/>
        <w:gridCol w:w="4320"/>
        <w:gridCol w:w="3096"/>
      </w:tblGrid>
      <w:tr>
        <w:trPr>
          <w:tblHeader/>
        </w:trPr>
        <w:tc>
          <w:tcPr>
            <w:tcW w:type="dxa" w:w="1944"/>
            <w:tcMar>
              <w:top w:w="90" w:type="dxa"/>
              <w:start w:w="120" w:type="dxa"/>
              <w:bottom w:w="90" w:type="dxa"/>
              <w:end w:w="120" w:type="dxa"/>
            </w:tcMar>
            <w:vAlign w:val="center"/>
          </w:tcPr>
          <w:p>
            <w:pPr>
              <w:shd w:fill="DCE6EB"/>
            </w:pPr>
            <w:r>
              <w:rPr>
                <w:b/>
                <w:color w:val="15324A"/>
                <w:sz w:val="16"/>
              </w:rPr>
              <w:t>Dimension</w:t>
            </w:r>
          </w:p>
        </w:tc>
        <w:tc>
          <w:tcPr>
            <w:tcW w:type="dxa" w:w="4320"/>
            <w:tcMar>
              <w:top w:w="90" w:type="dxa"/>
              <w:start w:w="120" w:type="dxa"/>
              <w:bottom w:w="90" w:type="dxa"/>
              <w:end w:w="120" w:type="dxa"/>
            </w:tcMar>
            <w:vAlign w:val="center"/>
          </w:tcPr>
          <w:p>
            <w:pPr>
              <w:shd w:fill="DCE6EB"/>
            </w:pPr>
            <w:r>
              <w:rPr>
                <w:b/>
                <w:color w:val="15324A"/>
                <w:sz w:val="16"/>
              </w:rPr>
              <w:t>Minimumsspørgsmål</w:t>
            </w:r>
          </w:p>
        </w:tc>
        <w:tc>
          <w:tcPr>
            <w:tcW w:type="dxa" w:w="3096"/>
            <w:tcMar>
              <w:top w:w="90" w:type="dxa"/>
              <w:start w:w="120" w:type="dxa"/>
              <w:bottom w:w="90" w:type="dxa"/>
              <w:end w:w="120" w:type="dxa"/>
            </w:tcMar>
            <w:vAlign w:val="center"/>
          </w:tcPr>
          <w:p>
            <w:pPr>
              <w:shd w:fill="DCE6EB"/>
            </w:pPr>
            <w:r>
              <w:rPr>
                <w:b/>
                <w:color w:val="15324A"/>
                <w:sz w:val="16"/>
              </w:rPr>
              <w:t>Mulig gate</w:t>
            </w:r>
          </w:p>
        </w:tc>
      </w:tr>
      <w:tr>
        <w:tc>
          <w:tcPr>
            <w:tcW w:type="dxa" w:w="1944"/>
            <w:tcMar>
              <w:top w:w="90" w:type="dxa"/>
              <w:start w:w="120" w:type="dxa"/>
              <w:bottom w:w="90" w:type="dxa"/>
              <w:end w:w="120" w:type="dxa"/>
            </w:tcMar>
            <w:vAlign w:val="center"/>
          </w:tcPr>
          <w:p>
            <w:pPr>
              <w:spacing w:after="0" w:line="259" w:lineRule="auto"/>
            </w:pPr>
            <w:r>
              <w:rPr>
                <w:sz w:val="16"/>
              </w:rPr>
              <w:t>Klinisk værdi</w:t>
            </w:r>
          </w:p>
        </w:tc>
        <w:tc>
          <w:tcPr>
            <w:tcW w:type="dxa" w:w="4320"/>
            <w:tcMar>
              <w:top w:w="90" w:type="dxa"/>
              <w:start w:w="120" w:type="dxa"/>
              <w:bottom w:w="90" w:type="dxa"/>
              <w:end w:w="120" w:type="dxa"/>
            </w:tcMar>
            <w:vAlign w:val="center"/>
          </w:tcPr>
          <w:p>
            <w:pPr>
              <w:spacing w:after="0" w:line="259" w:lineRule="auto"/>
            </w:pPr>
            <w:r>
              <w:rPr>
                <w:sz w:val="16"/>
              </w:rPr>
              <w:t>Hvilket patient- eller konsultationsproblem ændres?</w:t>
            </w:r>
          </w:p>
        </w:tc>
        <w:tc>
          <w:tcPr>
            <w:tcW w:type="dxa" w:w="3096"/>
            <w:tcMar>
              <w:top w:w="90" w:type="dxa"/>
              <w:start w:w="120" w:type="dxa"/>
              <w:bottom w:w="90" w:type="dxa"/>
              <w:end w:w="120" w:type="dxa"/>
            </w:tcMar>
            <w:vAlign w:val="center"/>
          </w:tcPr>
          <w:p>
            <w:pPr>
              <w:spacing w:after="0" w:line="259" w:lineRule="auto"/>
            </w:pPr>
            <w:r>
              <w:rPr>
                <w:sz w:val="16"/>
              </w:rPr>
              <w:t>Foruddefineret minimal relevant effekt</w:t>
            </w:r>
          </w:p>
        </w:tc>
      </w:tr>
      <w:tr>
        <w:tc>
          <w:tcPr>
            <w:tcW w:type="dxa" w:w="1944"/>
            <w:tcMar>
              <w:top w:w="90" w:type="dxa"/>
              <w:start w:w="120" w:type="dxa"/>
              <w:bottom w:w="90" w:type="dxa"/>
              <w:end w:w="120" w:type="dxa"/>
            </w:tcMar>
            <w:vAlign w:val="center"/>
          </w:tcPr>
          <w:p>
            <w:pPr>
              <w:shd w:fill="F7F9FA"/>
              <w:spacing w:after="0" w:line="259" w:lineRule="auto"/>
            </w:pPr>
            <w:r>
              <w:rPr>
                <w:sz w:val="16"/>
              </w:rPr>
              <w:t>Risiko og reversibilitet</w:t>
            </w:r>
          </w:p>
        </w:tc>
        <w:tc>
          <w:tcPr>
            <w:tcW w:type="dxa" w:w="4320"/>
            <w:tcMar>
              <w:top w:w="90" w:type="dxa"/>
              <w:start w:w="120" w:type="dxa"/>
              <w:bottom w:w="90" w:type="dxa"/>
              <w:end w:w="120" w:type="dxa"/>
            </w:tcMar>
            <w:vAlign w:val="center"/>
          </w:tcPr>
          <w:p>
            <w:pPr>
              <w:shd w:fill="F7F9FA"/>
              <w:spacing w:after="0" w:line="259" w:lineRule="auto"/>
            </w:pPr>
            <w:r>
              <w:rPr>
                <w:sz w:val="16"/>
              </w:rPr>
              <w:t>Hvem kan skades, og kan effekten rulles tilbage?</w:t>
            </w:r>
          </w:p>
        </w:tc>
        <w:tc>
          <w:tcPr>
            <w:tcW w:type="dxa" w:w="3096"/>
            <w:tcMar>
              <w:top w:w="90" w:type="dxa"/>
              <w:start w:w="120" w:type="dxa"/>
              <w:bottom w:w="90" w:type="dxa"/>
              <w:end w:w="120" w:type="dxa"/>
            </w:tcMar>
            <w:vAlign w:val="center"/>
          </w:tcPr>
          <w:p>
            <w:pPr>
              <w:shd w:fill="F7F9FA"/>
              <w:spacing w:after="0" w:line="259" w:lineRule="auto"/>
            </w:pPr>
            <w:r>
              <w:rPr>
                <w:sz w:val="16"/>
              </w:rPr>
              <w:t>Risk tier + rollback-bevis</w:t>
            </w:r>
          </w:p>
        </w:tc>
      </w:tr>
      <w:tr>
        <w:tc>
          <w:tcPr>
            <w:tcW w:type="dxa" w:w="1944"/>
            <w:tcMar>
              <w:top w:w="90" w:type="dxa"/>
              <w:start w:w="120" w:type="dxa"/>
              <w:bottom w:w="90" w:type="dxa"/>
              <w:end w:w="120" w:type="dxa"/>
            </w:tcMar>
            <w:vAlign w:val="center"/>
          </w:tcPr>
          <w:p>
            <w:pPr>
              <w:spacing w:after="0" w:line="259" w:lineRule="auto"/>
            </w:pPr>
            <w:r>
              <w:rPr>
                <w:sz w:val="16"/>
              </w:rPr>
              <w:t>Opmærksomhedsbyrde</w:t>
            </w:r>
          </w:p>
        </w:tc>
        <w:tc>
          <w:tcPr>
            <w:tcW w:type="dxa" w:w="4320"/>
            <w:tcMar>
              <w:top w:w="90" w:type="dxa"/>
              <w:start w:w="120" w:type="dxa"/>
              <w:bottom w:w="90" w:type="dxa"/>
              <w:end w:w="120" w:type="dxa"/>
            </w:tcMar>
            <w:vAlign w:val="center"/>
          </w:tcPr>
          <w:p>
            <w:pPr>
              <w:spacing w:after="0" w:line="259" w:lineRule="auto"/>
            </w:pPr>
            <w:r>
              <w:rPr>
                <w:sz w:val="16"/>
              </w:rPr>
              <w:t>Hvilket arbejde og hvilke afbrydelser skabes?</w:t>
            </w:r>
          </w:p>
        </w:tc>
        <w:tc>
          <w:tcPr>
            <w:tcW w:type="dxa" w:w="3096"/>
            <w:tcMar>
              <w:top w:w="90" w:type="dxa"/>
              <w:start w:w="120" w:type="dxa"/>
              <w:bottom w:w="90" w:type="dxa"/>
              <w:end w:w="120" w:type="dxa"/>
            </w:tcMar>
            <w:vAlign w:val="center"/>
          </w:tcPr>
          <w:p>
            <w:pPr>
              <w:spacing w:after="0" w:line="259" w:lineRule="auto"/>
            </w:pPr>
            <w:r>
              <w:rPr>
                <w:sz w:val="16"/>
              </w:rPr>
              <w:t>Netto tids-/attentionbudget</w:t>
            </w:r>
          </w:p>
        </w:tc>
      </w:tr>
      <w:tr>
        <w:tc>
          <w:tcPr>
            <w:tcW w:type="dxa" w:w="1944"/>
            <w:tcMar>
              <w:top w:w="90" w:type="dxa"/>
              <w:start w:w="120" w:type="dxa"/>
              <w:bottom w:w="90" w:type="dxa"/>
              <w:end w:w="120" w:type="dxa"/>
            </w:tcMar>
            <w:vAlign w:val="center"/>
          </w:tcPr>
          <w:p>
            <w:pPr>
              <w:shd w:fill="F7F9FA"/>
              <w:spacing w:after="0" w:line="259" w:lineRule="auto"/>
            </w:pPr>
            <w:r>
              <w:rPr>
                <w:sz w:val="16"/>
              </w:rPr>
              <w:t>Lighed</w:t>
            </w:r>
          </w:p>
        </w:tc>
        <w:tc>
          <w:tcPr>
            <w:tcW w:type="dxa" w:w="4320"/>
            <w:tcMar>
              <w:top w:w="90" w:type="dxa"/>
              <w:start w:w="120" w:type="dxa"/>
              <w:bottom w:w="90" w:type="dxa"/>
              <w:end w:w="120" w:type="dxa"/>
            </w:tcMar>
            <w:vAlign w:val="center"/>
          </w:tcPr>
          <w:p>
            <w:pPr>
              <w:shd w:fill="F7F9FA"/>
              <w:spacing w:after="0" w:line="259" w:lineRule="auto"/>
            </w:pPr>
            <w:r>
              <w:rPr>
                <w:sz w:val="16"/>
              </w:rPr>
              <w:t>Hvem får mindre nytte eller større byrde?</w:t>
            </w:r>
          </w:p>
        </w:tc>
        <w:tc>
          <w:tcPr>
            <w:tcW w:type="dxa" w:w="3096"/>
            <w:tcMar>
              <w:top w:w="90" w:type="dxa"/>
              <w:start w:w="120" w:type="dxa"/>
              <w:bottom w:w="90" w:type="dxa"/>
              <w:end w:w="120" w:type="dxa"/>
            </w:tcMar>
            <w:vAlign w:val="center"/>
          </w:tcPr>
          <w:p>
            <w:pPr>
              <w:shd w:fill="F7F9FA"/>
              <w:spacing w:after="0" w:line="259" w:lineRule="auto"/>
            </w:pPr>
            <w:r>
              <w:rPr>
                <w:sz w:val="16"/>
              </w:rPr>
              <w:t>Subgroup-plan og stopgrænser</w:t>
            </w:r>
          </w:p>
        </w:tc>
      </w:tr>
      <w:tr>
        <w:tc>
          <w:tcPr>
            <w:tcW w:type="dxa" w:w="1944"/>
            <w:tcMar>
              <w:top w:w="90" w:type="dxa"/>
              <w:start w:w="120" w:type="dxa"/>
              <w:bottom w:w="90" w:type="dxa"/>
              <w:end w:w="120" w:type="dxa"/>
            </w:tcMar>
            <w:vAlign w:val="center"/>
          </w:tcPr>
          <w:p>
            <w:pPr>
              <w:spacing w:after="0" w:line="259" w:lineRule="auto"/>
            </w:pPr>
            <w:r>
              <w:rPr>
                <w:sz w:val="16"/>
              </w:rPr>
              <w:t>Strategisk læring</w:t>
            </w:r>
          </w:p>
        </w:tc>
        <w:tc>
          <w:tcPr>
            <w:tcW w:type="dxa" w:w="4320"/>
            <w:tcMar>
              <w:top w:w="90" w:type="dxa"/>
              <w:start w:w="120" w:type="dxa"/>
              <w:bottom w:w="90" w:type="dxa"/>
              <w:end w:w="120" w:type="dxa"/>
            </w:tcMar>
            <w:vAlign w:val="center"/>
          </w:tcPr>
          <w:p>
            <w:pPr>
              <w:spacing w:after="0" w:line="259" w:lineRule="auto"/>
            </w:pPr>
            <w:r>
              <w:rPr>
                <w:sz w:val="16"/>
              </w:rPr>
              <w:t>Reducerer initiativet en vigtig usikkerhed?</w:t>
            </w:r>
          </w:p>
        </w:tc>
        <w:tc>
          <w:tcPr>
            <w:tcW w:type="dxa" w:w="3096"/>
            <w:tcMar>
              <w:top w:w="90" w:type="dxa"/>
              <w:start w:w="120" w:type="dxa"/>
              <w:bottom w:w="90" w:type="dxa"/>
              <w:end w:w="120" w:type="dxa"/>
            </w:tcMar>
            <w:vAlign w:val="center"/>
          </w:tcPr>
          <w:p>
            <w:pPr>
              <w:spacing w:after="0" w:line="259" w:lineRule="auto"/>
            </w:pPr>
            <w:r>
              <w:rPr>
                <w:sz w:val="16"/>
              </w:rPr>
              <w:t>Link til Research Agenda</w:t>
            </w:r>
          </w:p>
        </w:tc>
      </w:tr>
      <w:tr>
        <w:tc>
          <w:tcPr>
            <w:tcW w:type="dxa" w:w="1944"/>
            <w:tcMar>
              <w:top w:w="90" w:type="dxa"/>
              <w:start w:w="120" w:type="dxa"/>
              <w:bottom w:w="90" w:type="dxa"/>
              <w:end w:w="120" w:type="dxa"/>
            </w:tcMar>
            <w:vAlign w:val="center"/>
          </w:tcPr>
          <w:p>
            <w:pPr>
              <w:shd w:fill="F7F9FA"/>
              <w:spacing w:after="0" w:line="259" w:lineRule="auto"/>
            </w:pPr>
            <w:r>
              <w:rPr>
                <w:sz w:val="16"/>
              </w:rPr>
              <w:t>Opportunity cost</w:t>
            </w:r>
          </w:p>
        </w:tc>
        <w:tc>
          <w:tcPr>
            <w:tcW w:type="dxa" w:w="4320"/>
            <w:tcMar>
              <w:top w:w="90" w:type="dxa"/>
              <w:start w:w="120" w:type="dxa"/>
              <w:bottom w:w="90" w:type="dxa"/>
              <w:end w:w="120" w:type="dxa"/>
            </w:tcMar>
            <w:vAlign w:val="center"/>
          </w:tcPr>
          <w:p>
            <w:pPr>
              <w:shd w:fill="F7F9FA"/>
              <w:spacing w:after="0" w:line="259" w:lineRule="auto"/>
            </w:pPr>
            <w:r>
              <w:rPr>
                <w:sz w:val="16"/>
              </w:rPr>
              <w:t>Hvad vælger vi aktivt fra?</w:t>
            </w:r>
          </w:p>
        </w:tc>
        <w:tc>
          <w:tcPr>
            <w:tcW w:type="dxa" w:w="3096"/>
            <w:tcMar>
              <w:top w:w="90" w:type="dxa"/>
              <w:start w:w="120" w:type="dxa"/>
              <w:bottom w:w="90" w:type="dxa"/>
              <w:end w:w="120" w:type="dxa"/>
            </w:tcMar>
            <w:vAlign w:val="center"/>
          </w:tcPr>
          <w:p>
            <w:pPr>
              <w:shd w:fill="F7F9FA"/>
              <w:spacing w:after="0" w:line="259" w:lineRule="auto"/>
            </w:pPr>
            <w:r>
              <w:rPr>
                <w:sz w:val="16"/>
              </w:rPr>
              <w:t>Navngivet alternativ og begrundelse</w:t>
            </w:r>
          </w:p>
        </w:tc>
      </w:tr>
    </w:tbl>
    <w:p>
      <w:pPr>
        <w:spacing w:after="0"/>
      </w:pPr>
    </w:p>
    <w:p>
      <w:pPr>
        <w:spacing w:before="100" w:after="180"/>
        <w:ind w:left="173" w:right="173"/>
        <w:shd w:fill="E6F4EA"/>
      </w:pPr>
      <w:r>
        <w:rPr>
          <w:b/>
          <w:color w:val="216E39"/>
        </w:rPr>
        <w:t xml:space="preserve">Produktets nej-regel: </w:t>
      </w:r>
      <w:r>
        <w:t>Et initiativ skal afvises, hvis det ikke har et vigtigt problem, en plausibel mekanisme, et ansvarligt risikoniveau, målbar klinisk værdi eller en bedre forventet porteføljeværdi end det arbejde, det fortrænger.</w:t>
      </w:r>
    </w:p>
    <w:p>
      <w:pPr>
        <w:pageBreakBefore/>
        <w:spacing w:after="60"/>
      </w:pPr>
      <w:r>
        <w:rPr>
          <w:b/>
          <w:color w:val="667085"/>
          <w:sz w:val="18"/>
        </w:rPr>
        <w:t>REVIEW E · ER GRUNDPRINCIPPERNE UAFHÆNGIGE?</w:t>
      </w:r>
    </w:p>
    <w:p>
      <w:pPr>
        <w:pStyle w:val="Heading1"/>
      </w:pPr>
      <w:r>
        <w:t>7. Den filosofiske kritiker</w:t>
      </w:r>
    </w:p>
    <w:p>
      <w:pPr>
        <w:spacing w:before="100" w:after="180"/>
        <w:ind w:left="173" w:right="173"/>
        <w:shd w:fill="FFF4CE"/>
      </w:pPr>
      <w:r>
        <w:rPr>
          <w:b/>
          <w:color w:val="8A6400"/>
        </w:rPr>
        <w:t xml:space="preserve">Filosofisk dom: </w:t>
      </w:r>
      <w:r>
        <w:t>Frameworket har en genkendelig moralfilosofisk kerne, men dokumentet blander grundnormer, beskyttelsesværdier, konfliktkriterier og styringsteknikker. Det gør systemet rigere — og mindre deduktivt klart.</w:t>
      </w:r>
    </w:p>
    <w:p>
      <w:pPr>
        <w:pStyle w:val="Heading2"/>
      </w:pPr>
      <w:r>
        <w:t>Den sandsynlige kerne</w:t>
      </w:r>
    </w:p>
    <w:tbl>
      <w:tblPr>
        <w:tblW w:type="dxa" w:w="9360"/>
        <w:jc w:val="left"/>
        <w:tblLayout w:type="fixed"/>
        <w:tblLook w:firstColumn="1" w:firstRow="1" w:lastColumn="0" w:lastRow="0" w:noHBand="0" w:noVBand="1" w:val="04A0"/>
        <w:tblInd w:w="120" w:type="dxa"/>
      </w:tblPr>
      <w:tblGrid>
        <w:gridCol w:w="3168"/>
        <w:gridCol w:w="6192"/>
      </w:tblGrid>
      <w:tr>
        <w:trPr>
          <w:tblHeader/>
        </w:trPr>
        <w:tc>
          <w:tcPr>
            <w:tcW w:type="dxa" w:w="3168"/>
            <w:tcMar>
              <w:top w:w="90" w:type="dxa"/>
              <w:start w:w="120" w:type="dxa"/>
              <w:bottom w:w="90" w:type="dxa"/>
              <w:end w:w="120" w:type="dxa"/>
            </w:tcMar>
            <w:vAlign w:val="center"/>
          </w:tcPr>
          <w:p>
            <w:pPr>
              <w:shd w:fill="DCE6EB"/>
            </w:pPr>
            <w:r>
              <w:rPr>
                <w:b/>
                <w:color w:val="15324A"/>
                <w:sz w:val="17"/>
              </w:rPr>
              <w:t>Grundidé</w:t>
            </w:r>
          </w:p>
        </w:tc>
        <w:tc>
          <w:tcPr>
            <w:tcW w:type="dxa" w:w="6192"/>
            <w:tcMar>
              <w:top w:w="90" w:type="dxa"/>
              <w:start w:w="120" w:type="dxa"/>
              <w:bottom w:w="90" w:type="dxa"/>
              <w:end w:w="120" w:type="dxa"/>
            </w:tcMar>
            <w:vAlign w:val="center"/>
          </w:tcPr>
          <w:p>
            <w:pPr>
              <w:shd w:fill="DCE6EB"/>
            </w:pPr>
            <w:r>
              <w:rPr>
                <w:b/>
                <w:color w:val="15324A"/>
                <w:sz w:val="17"/>
              </w:rPr>
              <w:t>Afledte eller nært beslægtede hensyn</w:t>
            </w:r>
          </w:p>
        </w:tc>
      </w:tr>
      <w:tr>
        <w:tc>
          <w:tcPr>
            <w:tcW w:type="dxa" w:w="3168"/>
            <w:tcMar>
              <w:top w:w="90" w:type="dxa"/>
              <w:start w:w="120" w:type="dxa"/>
              <w:bottom w:w="90" w:type="dxa"/>
              <w:end w:w="120" w:type="dxa"/>
            </w:tcMar>
            <w:vAlign w:val="center"/>
          </w:tcPr>
          <w:p>
            <w:pPr>
              <w:spacing w:after="0" w:line="259" w:lineRule="auto"/>
            </w:pPr>
            <w:r>
              <w:rPr>
                <w:sz w:val="17"/>
              </w:rPr>
              <w:t>Menneskelig værdighed</w:t>
            </w:r>
          </w:p>
        </w:tc>
        <w:tc>
          <w:tcPr>
            <w:tcW w:type="dxa" w:w="6192"/>
            <w:tcMar>
              <w:top w:w="90" w:type="dxa"/>
              <w:start w:w="120" w:type="dxa"/>
              <w:bottom w:w="90" w:type="dxa"/>
              <w:end w:w="120" w:type="dxa"/>
            </w:tcMar>
            <w:vAlign w:val="center"/>
          </w:tcPr>
          <w:p>
            <w:pPr>
              <w:spacing w:after="0" w:line="259" w:lineRule="auto"/>
            </w:pPr>
            <w:r>
              <w:rPr>
                <w:sz w:val="17"/>
              </w:rPr>
              <w:t>Patientnærvær, ikke-instrumentalisering, forståelighed, retfærdig behandling</w:t>
            </w:r>
          </w:p>
        </w:tc>
      </w:tr>
      <w:tr>
        <w:tc>
          <w:tcPr>
            <w:tcW w:type="dxa" w:w="3168"/>
            <w:tcMar>
              <w:top w:w="90" w:type="dxa"/>
              <w:start w:w="120" w:type="dxa"/>
              <w:bottom w:w="90" w:type="dxa"/>
              <w:end w:w="120" w:type="dxa"/>
            </w:tcMar>
            <w:vAlign w:val="center"/>
          </w:tcPr>
          <w:p>
            <w:pPr>
              <w:shd w:fill="F7F9FA"/>
              <w:spacing w:after="0" w:line="259" w:lineRule="auto"/>
            </w:pPr>
            <w:r>
              <w:rPr>
                <w:sz w:val="17"/>
              </w:rPr>
              <w:t>Legitim menneskelig autonomi</w:t>
            </w:r>
          </w:p>
        </w:tc>
        <w:tc>
          <w:tcPr>
            <w:tcW w:type="dxa" w:w="6192"/>
            <w:tcMar>
              <w:top w:w="90" w:type="dxa"/>
              <w:start w:w="120" w:type="dxa"/>
              <w:bottom w:w="90" w:type="dxa"/>
              <w:end w:w="120" w:type="dxa"/>
            </w:tcMar>
            <w:vAlign w:val="center"/>
          </w:tcPr>
          <w:p>
            <w:pPr>
              <w:shd w:fill="F7F9FA"/>
              <w:spacing w:after="0" w:line="259" w:lineRule="auto"/>
            </w:pPr>
            <w:r>
              <w:rPr>
                <w:sz w:val="17"/>
              </w:rPr>
              <w:t>Patientautonomi, professionel autonomi, meningsfuld kontrol, override</w:t>
            </w:r>
          </w:p>
        </w:tc>
      </w:tr>
      <w:tr>
        <w:tc>
          <w:tcPr>
            <w:tcW w:type="dxa" w:w="3168"/>
            <w:tcMar>
              <w:top w:w="90" w:type="dxa"/>
              <w:start w:w="120" w:type="dxa"/>
              <w:bottom w:w="90" w:type="dxa"/>
              <w:end w:w="120" w:type="dxa"/>
            </w:tcMar>
            <w:vAlign w:val="center"/>
          </w:tcPr>
          <w:p>
            <w:pPr>
              <w:spacing w:after="0" w:line="259" w:lineRule="auto"/>
            </w:pPr>
            <w:r>
              <w:rPr>
                <w:sz w:val="17"/>
              </w:rPr>
              <w:t>Epistemisk integritet</w:t>
            </w:r>
          </w:p>
        </w:tc>
        <w:tc>
          <w:tcPr>
            <w:tcW w:type="dxa" w:w="6192"/>
            <w:tcMar>
              <w:top w:w="90" w:type="dxa"/>
              <w:start w:w="120" w:type="dxa"/>
              <w:bottom w:w="90" w:type="dxa"/>
              <w:end w:w="120" w:type="dxa"/>
            </w:tcMar>
            <w:vAlign w:val="center"/>
          </w:tcPr>
          <w:p>
            <w:pPr>
              <w:spacing w:after="0" w:line="259" w:lineRule="auto"/>
            </w:pPr>
            <w:r>
              <w:rPr>
                <w:sz w:val="17"/>
              </w:rPr>
              <w:t>Usikkerhed, provenance, transparens, forklarbarhed, evidens og falsk konsensus</w:t>
            </w:r>
          </w:p>
        </w:tc>
      </w:tr>
      <w:tr>
        <w:tc>
          <w:tcPr>
            <w:tcW w:type="dxa" w:w="3168"/>
            <w:tcMar>
              <w:top w:w="90" w:type="dxa"/>
              <w:start w:w="120" w:type="dxa"/>
              <w:bottom w:w="90" w:type="dxa"/>
              <w:end w:w="120" w:type="dxa"/>
            </w:tcMar>
            <w:vAlign w:val="center"/>
          </w:tcPr>
          <w:p>
            <w:pPr>
              <w:shd w:fill="F7F9FA"/>
              <w:spacing w:after="0" w:line="259" w:lineRule="auto"/>
            </w:pPr>
            <w:r>
              <w:rPr>
                <w:sz w:val="17"/>
              </w:rPr>
              <w:t>Ikke-skade og proportionalitet</w:t>
            </w:r>
          </w:p>
        </w:tc>
        <w:tc>
          <w:tcPr>
            <w:tcW w:type="dxa" w:w="6192"/>
            <w:tcMar>
              <w:top w:w="90" w:type="dxa"/>
              <w:start w:w="120" w:type="dxa"/>
              <w:bottom w:w="90" w:type="dxa"/>
              <w:end w:w="120" w:type="dxa"/>
            </w:tcMar>
            <w:vAlign w:val="center"/>
          </w:tcPr>
          <w:p>
            <w:pPr>
              <w:shd w:fill="F7F9FA"/>
              <w:spacing w:after="0" w:line="259" w:lineRule="auto"/>
            </w:pPr>
            <w:r>
              <w:rPr>
                <w:sz w:val="17"/>
              </w:rPr>
              <w:t>Patientsikkerhed, residualrisiko, reversibilitet, mindst indgribende løsning</w:t>
            </w:r>
          </w:p>
        </w:tc>
      </w:tr>
      <w:tr>
        <w:tc>
          <w:tcPr>
            <w:tcW w:type="dxa" w:w="3168"/>
            <w:tcMar>
              <w:top w:w="90" w:type="dxa"/>
              <w:start w:w="120" w:type="dxa"/>
              <w:bottom w:w="90" w:type="dxa"/>
              <w:end w:w="120" w:type="dxa"/>
            </w:tcMar>
            <w:vAlign w:val="center"/>
          </w:tcPr>
          <w:p>
            <w:pPr>
              <w:spacing w:after="0" w:line="259" w:lineRule="auto"/>
            </w:pPr>
            <w:r>
              <w:rPr>
                <w:sz w:val="17"/>
              </w:rPr>
              <w:t>Ansvarlig klinisk handlekraft</w:t>
            </w:r>
          </w:p>
        </w:tc>
        <w:tc>
          <w:tcPr>
            <w:tcW w:type="dxa" w:w="6192"/>
            <w:tcMar>
              <w:top w:w="90" w:type="dxa"/>
              <w:start w:w="120" w:type="dxa"/>
              <w:bottom w:w="90" w:type="dxa"/>
              <w:end w:w="120" w:type="dxa"/>
            </w:tcMar>
            <w:vAlign w:val="center"/>
          </w:tcPr>
          <w:p>
            <w:pPr>
              <w:spacing w:after="0" w:line="259" w:lineRule="auto"/>
            </w:pPr>
            <w:r>
              <w:rPr>
                <w:sz w:val="17"/>
              </w:rPr>
              <w:t>Dømmekraft, opmærksomhed, kompetence, deskilling og accountability</w:t>
            </w:r>
          </w:p>
        </w:tc>
      </w:tr>
      <w:tr>
        <w:tc>
          <w:tcPr>
            <w:tcW w:type="dxa" w:w="3168"/>
            <w:tcMar>
              <w:top w:w="90" w:type="dxa"/>
              <w:start w:w="120" w:type="dxa"/>
              <w:bottom w:w="90" w:type="dxa"/>
              <w:end w:w="120" w:type="dxa"/>
            </w:tcMar>
            <w:vAlign w:val="center"/>
          </w:tcPr>
          <w:p>
            <w:pPr>
              <w:shd w:fill="F7F9FA"/>
              <w:spacing w:after="0" w:line="259" w:lineRule="auto"/>
            </w:pPr>
            <w:r>
              <w:rPr>
                <w:sz w:val="17"/>
              </w:rPr>
              <w:t>Læring og korrigerbarhed</w:t>
            </w:r>
          </w:p>
        </w:tc>
        <w:tc>
          <w:tcPr>
            <w:tcW w:type="dxa" w:w="6192"/>
            <w:tcMar>
              <w:top w:w="90" w:type="dxa"/>
              <w:start w:w="120" w:type="dxa"/>
              <w:bottom w:w="90" w:type="dxa"/>
              <w:end w:w="120" w:type="dxa"/>
            </w:tcMar>
            <w:vAlign w:val="center"/>
          </w:tcPr>
          <w:p>
            <w:pPr>
              <w:shd w:fill="F7F9FA"/>
              <w:spacing w:after="0" w:line="259" w:lineRule="auto"/>
            </w:pPr>
            <w:r>
              <w:rPr>
                <w:sz w:val="17"/>
              </w:rPr>
              <w:t>Monitorering, hændelser, rollback, review-trigger og institutionel hukommelse</w:t>
            </w:r>
          </w:p>
        </w:tc>
      </w:tr>
    </w:tbl>
    <w:p>
      <w:pPr>
        <w:spacing w:after="0"/>
      </w:pPr>
    </w:p>
    <w:p>
      <w:pPr>
        <w:pStyle w:val="Heading2"/>
      </w:pPr>
      <w:r>
        <w:t>Overlap og kategorifejl</w:t>
      </w:r>
    </w:p>
    <w:p>
      <w:pPr>
        <w:pStyle w:val="ListBullet"/>
        <w:spacing w:after="80" w:line="300" w:lineRule="auto"/>
      </w:pPr>
      <w:r>
        <w:t>Transparens er ikke nødvendigvis en grundværdi; den er ofte et middel til epistemisk integritet, autonomi eller ansvar.</w:t>
      </w:r>
    </w:p>
    <w:p>
      <w:pPr>
        <w:pStyle w:val="ListBullet"/>
        <w:spacing w:after="80" w:line="300" w:lineRule="auto"/>
      </w:pPr>
      <w:r>
        <w:t>Reversibilitet er typisk et proportionalitetsprincip eller en risikokontrol, ikke et selvstændigt menneskesyn.</w:t>
      </w:r>
    </w:p>
    <w:p>
      <w:pPr>
        <w:pStyle w:val="ListBullet"/>
        <w:spacing w:after="80" w:line="300" w:lineRule="auto"/>
      </w:pPr>
      <w:r>
        <w:t>Nærvær og opmærksomhed er beslægtede, men ikke identiske: nærvær er relationelt; opmærksomhed er en knap kognitiv ressource.</w:t>
      </w:r>
    </w:p>
    <w:p>
      <w:pPr>
        <w:pStyle w:val="ListBullet"/>
        <w:spacing w:after="80" w:line="300" w:lineRule="auto"/>
      </w:pPr>
      <w:r>
        <w:t>Professionel autonomi er ikke absolut. Den er legitim, når den tjener patienten under evidens, ansvar og retfærdighed.</w:t>
      </w:r>
    </w:p>
    <w:p>
      <w:pPr>
        <w:pStyle w:val="ListBullet"/>
        <w:spacing w:after="80" w:line="300" w:lineRule="auto"/>
      </w:pPr>
      <w:r>
        <w:t>Læring kan kollidere med værdighed og privatliv; ‘mere læring’ er derfor ikke i sig selv et gode.</w:t>
      </w:r>
    </w:p>
    <w:p>
      <w:pPr>
        <w:pStyle w:val="ListBullet"/>
        <w:spacing w:after="80" w:line="300" w:lineRule="auto"/>
      </w:pPr>
      <w:r>
        <w:t>Dokumentet beskriver governance-arkitekturen, men gengiver ikke de ratificerede forfatningsartikler. Derfor kan det ikke alene bevise princippernes uafhængighed.</w:t>
      </w:r>
    </w:p>
    <w:p>
      <w:pPr>
        <w:pStyle w:val="Heading2"/>
      </w:pPr>
      <w:r>
        <w:t>Kritisk rekonstruktion</w:t>
      </w:r>
    </w:p>
    <w:p>
      <w:r>
        <w:rPr>
          <w:rFonts w:ascii="Calibri" w:hAnsi="Calibri"/>
          <w:i w:val="0"/>
          <w:sz w:val="22"/>
        </w:rPr>
        <w:t>Reducer Constitutionen til få uafledbare beskyttelsesforpligtelser. Placér transparens, forklarbarhed, reversibilitet, subsidiaritet, opmærksomhedsbeskyttelse og læring som konfliktfølsomme mellemprincipper i Position Papers og Design Principles. Bevar kun et princip på constitutional niveau, hvis benægtelsen gør Cortex identitetsmæssigt uacceptabel — ikke blot dårligere designet.</w:t>
      </w:r>
    </w:p>
    <w:p>
      <w:pPr>
        <w:pageBreakBefore/>
        <w:spacing w:after="60"/>
      </w:pPr>
      <w:r>
        <w:rPr>
          <w:b/>
          <w:color w:val="667085"/>
          <w:sz w:val="18"/>
        </w:rPr>
        <w:t>HVORDAN FRAMEWORKET KAN MISBRUGES</w:t>
      </w:r>
    </w:p>
    <w:p>
      <w:pPr>
        <w:pStyle w:val="Heading1"/>
      </w:pPr>
      <w:r>
        <w:t>8. Tværgående angreb</w:t>
      </w:r>
    </w:p>
    <w:tbl>
      <w:tblPr>
        <w:tblW w:type="dxa" w:w="9360"/>
        <w:jc w:val="left"/>
        <w:tblLayout w:type="fixed"/>
        <w:tblLook w:firstColumn="1" w:firstRow="1" w:lastColumn="0" w:lastRow="0" w:noHBand="0" w:noVBand="1" w:val="04A0"/>
        <w:tblInd w:w="120" w:type="dxa"/>
      </w:tblPr>
      <w:tblGrid>
        <w:gridCol w:w="2088"/>
        <w:gridCol w:w="3888"/>
        <w:gridCol w:w="3384"/>
      </w:tblGrid>
      <w:tr>
        <w:trPr>
          <w:tblHeader/>
        </w:trPr>
        <w:tc>
          <w:tcPr>
            <w:tcW w:type="dxa" w:w="2088"/>
            <w:tcMar>
              <w:top w:w="90" w:type="dxa"/>
              <w:start w:w="120" w:type="dxa"/>
              <w:bottom w:w="90" w:type="dxa"/>
              <w:end w:w="120" w:type="dxa"/>
            </w:tcMar>
            <w:vAlign w:val="center"/>
          </w:tcPr>
          <w:p>
            <w:pPr>
              <w:shd w:fill="DCE6EB"/>
            </w:pPr>
            <w:r>
              <w:rPr>
                <w:b/>
                <w:color w:val="15324A"/>
                <w:sz w:val="16"/>
              </w:rPr>
              <w:t>Misbrugsmønster</w:t>
            </w:r>
          </w:p>
        </w:tc>
        <w:tc>
          <w:tcPr>
            <w:tcW w:type="dxa" w:w="3888"/>
            <w:tcMar>
              <w:top w:w="90" w:type="dxa"/>
              <w:start w:w="120" w:type="dxa"/>
              <w:bottom w:w="90" w:type="dxa"/>
              <w:end w:w="120" w:type="dxa"/>
            </w:tcMar>
            <w:vAlign w:val="center"/>
          </w:tcPr>
          <w:p>
            <w:pPr>
              <w:shd w:fill="DCE6EB"/>
            </w:pPr>
            <w:r>
              <w:rPr>
                <w:b/>
                <w:color w:val="15324A"/>
                <w:sz w:val="16"/>
              </w:rPr>
              <w:t>Hvordan det sker</w:t>
            </w:r>
          </w:p>
        </w:tc>
        <w:tc>
          <w:tcPr>
            <w:tcW w:type="dxa" w:w="3384"/>
            <w:tcMar>
              <w:top w:w="90" w:type="dxa"/>
              <w:start w:w="120" w:type="dxa"/>
              <w:bottom w:w="90" w:type="dxa"/>
              <w:end w:w="120" w:type="dxa"/>
            </w:tcMar>
            <w:vAlign w:val="center"/>
          </w:tcPr>
          <w:p>
            <w:pPr>
              <w:shd w:fill="DCE6EB"/>
            </w:pPr>
            <w:r>
              <w:rPr>
                <w:b/>
                <w:color w:val="15324A"/>
                <w:sz w:val="16"/>
              </w:rPr>
              <w:t>Modtræk</w:t>
            </w:r>
          </w:p>
        </w:tc>
      </w:tr>
      <w:tr>
        <w:tc>
          <w:tcPr>
            <w:tcW w:type="dxa" w:w="2088"/>
            <w:tcMar>
              <w:top w:w="90" w:type="dxa"/>
              <w:start w:w="120" w:type="dxa"/>
              <w:bottom w:w="90" w:type="dxa"/>
              <w:end w:w="120" w:type="dxa"/>
            </w:tcMar>
            <w:vAlign w:val="center"/>
          </w:tcPr>
          <w:p>
            <w:pPr>
              <w:spacing w:after="0" w:line="259" w:lineRule="auto"/>
            </w:pPr>
            <w:r>
              <w:rPr>
                <w:sz w:val="16"/>
              </w:rPr>
              <w:t>Paper compliance</w:t>
            </w:r>
          </w:p>
        </w:tc>
        <w:tc>
          <w:tcPr>
            <w:tcW w:type="dxa" w:w="3888"/>
            <w:tcMar>
              <w:top w:w="90" w:type="dxa"/>
              <w:start w:w="120" w:type="dxa"/>
              <w:bottom w:w="90" w:type="dxa"/>
              <w:end w:w="120" w:type="dxa"/>
            </w:tcMar>
            <w:vAlign w:val="center"/>
          </w:tcPr>
          <w:p>
            <w:pPr>
              <w:spacing w:after="0" w:line="259" w:lineRule="auto"/>
            </w:pPr>
            <w:r>
              <w:rPr>
                <w:sz w:val="16"/>
              </w:rPr>
              <w:t>Artefakter produceres retrospektivt og godkendes af afhængige kolleger</w:t>
            </w:r>
          </w:p>
        </w:tc>
        <w:tc>
          <w:tcPr>
            <w:tcW w:type="dxa" w:w="3384"/>
            <w:tcMar>
              <w:top w:w="90" w:type="dxa"/>
              <w:start w:w="120" w:type="dxa"/>
              <w:bottom w:w="90" w:type="dxa"/>
              <w:end w:w="120" w:type="dxa"/>
            </w:tcMar>
            <w:vAlign w:val="center"/>
          </w:tcPr>
          <w:p>
            <w:pPr>
              <w:spacing w:after="0" w:line="259" w:lineRule="auto"/>
            </w:pPr>
            <w:r>
              <w:rPr>
                <w:sz w:val="16"/>
              </w:rPr>
              <w:t>Tidsstempling, uafhængig sampling og outcome audit</w:t>
            </w:r>
          </w:p>
        </w:tc>
      </w:tr>
      <w:tr>
        <w:tc>
          <w:tcPr>
            <w:tcW w:type="dxa" w:w="2088"/>
            <w:tcMar>
              <w:top w:w="90" w:type="dxa"/>
              <w:start w:w="120" w:type="dxa"/>
              <w:bottom w:w="90" w:type="dxa"/>
              <w:end w:w="120" w:type="dxa"/>
            </w:tcMar>
            <w:vAlign w:val="center"/>
          </w:tcPr>
          <w:p>
            <w:pPr>
              <w:shd w:fill="F7F9FA"/>
              <w:spacing w:after="0" w:line="259" w:lineRule="auto"/>
            </w:pPr>
            <w:r>
              <w:rPr>
                <w:sz w:val="16"/>
              </w:rPr>
              <w:t>Risk tier gaming</w:t>
            </w:r>
          </w:p>
        </w:tc>
        <w:tc>
          <w:tcPr>
            <w:tcW w:type="dxa" w:w="3888"/>
            <w:tcMar>
              <w:top w:w="90" w:type="dxa"/>
              <w:start w:w="120" w:type="dxa"/>
              <w:bottom w:w="90" w:type="dxa"/>
              <w:end w:w="120" w:type="dxa"/>
            </w:tcMar>
            <w:vAlign w:val="center"/>
          </w:tcPr>
          <w:p>
            <w:pPr>
              <w:shd w:fill="F7F9FA"/>
              <w:spacing w:after="0" w:line="259" w:lineRule="auto"/>
            </w:pPr>
            <w:r>
              <w:rPr>
                <w:sz w:val="16"/>
              </w:rPr>
              <w:t>Teams klassificerer ændringer lavt for at undgå gates</w:t>
            </w:r>
          </w:p>
        </w:tc>
        <w:tc>
          <w:tcPr>
            <w:tcW w:type="dxa" w:w="3384"/>
            <w:tcMar>
              <w:top w:w="90" w:type="dxa"/>
              <w:start w:w="120" w:type="dxa"/>
              <w:bottom w:w="90" w:type="dxa"/>
              <w:end w:w="120" w:type="dxa"/>
            </w:tcMar>
            <w:vAlign w:val="center"/>
          </w:tcPr>
          <w:p>
            <w:pPr>
              <w:shd w:fill="F7F9FA"/>
              <w:spacing w:after="0" w:line="259" w:lineRule="auto"/>
            </w:pPr>
            <w:r>
              <w:rPr>
                <w:sz w:val="16"/>
              </w:rPr>
              <w:t>Uafhængig reklassifikation og sanktioneret escalation</w:t>
            </w:r>
          </w:p>
        </w:tc>
      </w:tr>
      <w:tr>
        <w:tc>
          <w:tcPr>
            <w:tcW w:type="dxa" w:w="2088"/>
            <w:tcMar>
              <w:top w:w="90" w:type="dxa"/>
              <w:start w:w="120" w:type="dxa"/>
              <w:bottom w:w="90" w:type="dxa"/>
              <w:end w:w="120" w:type="dxa"/>
            </w:tcMar>
            <w:vAlign w:val="center"/>
          </w:tcPr>
          <w:p>
            <w:pPr>
              <w:spacing w:after="0" w:line="259" w:lineRule="auto"/>
            </w:pPr>
            <w:r>
              <w:rPr>
                <w:sz w:val="16"/>
              </w:rPr>
              <w:t>Council capture</w:t>
            </w:r>
          </w:p>
        </w:tc>
        <w:tc>
          <w:tcPr>
            <w:tcW w:type="dxa" w:w="3888"/>
            <w:tcMar>
              <w:top w:w="90" w:type="dxa"/>
              <w:start w:w="120" w:type="dxa"/>
              <w:bottom w:w="90" w:type="dxa"/>
              <w:end w:w="120" w:type="dxa"/>
            </w:tcMar>
            <w:vAlign w:val="center"/>
          </w:tcPr>
          <w:p>
            <w:pPr>
              <w:spacing w:after="0" w:line="259" w:lineRule="auto"/>
            </w:pPr>
            <w:r>
              <w:rPr>
                <w:sz w:val="16"/>
              </w:rPr>
              <w:t>De samme personer cirkulerer mellem råd og godkender egne antagelser</w:t>
            </w:r>
          </w:p>
        </w:tc>
        <w:tc>
          <w:tcPr>
            <w:tcW w:type="dxa" w:w="3384"/>
            <w:tcMar>
              <w:top w:w="90" w:type="dxa"/>
              <w:start w:w="120" w:type="dxa"/>
              <w:bottom w:w="90" w:type="dxa"/>
              <w:end w:w="120" w:type="dxa"/>
            </w:tcMar>
            <w:vAlign w:val="center"/>
          </w:tcPr>
          <w:p>
            <w:pPr>
              <w:spacing w:after="0" w:line="259" w:lineRule="auto"/>
            </w:pPr>
            <w:r>
              <w:rPr>
                <w:sz w:val="16"/>
              </w:rPr>
              <w:t>Term limits, interessekonflikter og eksterne medlemmer</w:t>
            </w:r>
          </w:p>
        </w:tc>
      </w:tr>
      <w:tr>
        <w:tc>
          <w:tcPr>
            <w:tcW w:type="dxa" w:w="2088"/>
            <w:tcMar>
              <w:top w:w="90" w:type="dxa"/>
              <w:start w:w="120" w:type="dxa"/>
              <w:bottom w:w="90" w:type="dxa"/>
              <w:end w:w="120" w:type="dxa"/>
            </w:tcMar>
            <w:vAlign w:val="center"/>
          </w:tcPr>
          <w:p>
            <w:pPr>
              <w:shd w:fill="F7F9FA"/>
              <w:spacing w:after="0" w:line="259" w:lineRule="auto"/>
            </w:pPr>
            <w:r>
              <w:rPr>
                <w:sz w:val="16"/>
              </w:rPr>
              <w:t>Human oversight theatre</w:t>
            </w:r>
          </w:p>
        </w:tc>
        <w:tc>
          <w:tcPr>
            <w:tcW w:type="dxa" w:w="3888"/>
            <w:tcMar>
              <w:top w:w="90" w:type="dxa"/>
              <w:start w:w="120" w:type="dxa"/>
              <w:bottom w:w="90" w:type="dxa"/>
              <w:end w:w="120" w:type="dxa"/>
            </w:tcMar>
            <w:vAlign w:val="center"/>
          </w:tcPr>
          <w:p>
            <w:pPr>
              <w:shd w:fill="F7F9FA"/>
              <w:spacing w:after="0" w:line="259" w:lineRule="auto"/>
            </w:pPr>
            <w:r>
              <w:rPr>
                <w:sz w:val="16"/>
              </w:rPr>
              <w:t>Et override-link gør klinikeren formelt ansvarlig uden praktisk mulighed</w:t>
            </w:r>
          </w:p>
        </w:tc>
        <w:tc>
          <w:tcPr>
            <w:tcW w:type="dxa" w:w="3384"/>
            <w:tcMar>
              <w:top w:w="90" w:type="dxa"/>
              <w:start w:w="120" w:type="dxa"/>
              <w:bottom w:w="90" w:type="dxa"/>
              <w:end w:w="120" w:type="dxa"/>
            </w:tcMar>
            <w:vAlign w:val="center"/>
          </w:tcPr>
          <w:p>
            <w:pPr>
              <w:shd w:fill="F7F9FA"/>
              <w:spacing w:after="0" w:line="259" w:lineRule="auto"/>
            </w:pPr>
            <w:r>
              <w:rPr>
                <w:sz w:val="16"/>
              </w:rPr>
              <w:t>Usability/effectiveness-test af oversight</w:t>
            </w:r>
          </w:p>
        </w:tc>
      </w:tr>
      <w:tr>
        <w:tc>
          <w:tcPr>
            <w:tcW w:type="dxa" w:w="2088"/>
            <w:tcMar>
              <w:top w:w="90" w:type="dxa"/>
              <w:start w:w="120" w:type="dxa"/>
              <w:bottom w:w="90" w:type="dxa"/>
              <w:end w:w="120" w:type="dxa"/>
            </w:tcMar>
            <w:vAlign w:val="center"/>
          </w:tcPr>
          <w:p>
            <w:pPr>
              <w:spacing w:after="0" w:line="259" w:lineRule="auto"/>
            </w:pPr>
            <w:r>
              <w:rPr>
                <w:sz w:val="16"/>
              </w:rPr>
              <w:t>Metric substitution</w:t>
            </w:r>
          </w:p>
        </w:tc>
        <w:tc>
          <w:tcPr>
            <w:tcW w:type="dxa" w:w="3888"/>
            <w:tcMar>
              <w:top w:w="90" w:type="dxa"/>
              <w:start w:w="120" w:type="dxa"/>
              <w:bottom w:w="90" w:type="dxa"/>
              <w:end w:w="120" w:type="dxa"/>
            </w:tcMar>
            <w:vAlign w:val="center"/>
          </w:tcPr>
          <w:p>
            <w:pPr>
              <w:spacing w:after="0" w:line="259" w:lineRule="auto"/>
            </w:pPr>
            <w:r>
              <w:rPr>
                <w:sz w:val="16"/>
              </w:rPr>
              <w:t>Let målbare processer erstatter kliniske effekter</w:t>
            </w:r>
          </w:p>
        </w:tc>
        <w:tc>
          <w:tcPr>
            <w:tcW w:type="dxa" w:w="3384"/>
            <w:tcMar>
              <w:top w:w="90" w:type="dxa"/>
              <w:start w:w="120" w:type="dxa"/>
              <w:bottom w:w="90" w:type="dxa"/>
              <w:end w:w="120" w:type="dxa"/>
            </w:tcMar>
            <w:vAlign w:val="center"/>
          </w:tcPr>
          <w:p>
            <w:pPr>
              <w:spacing w:after="0" w:line="259" w:lineRule="auto"/>
            </w:pPr>
            <w:r>
              <w:rPr>
                <w:sz w:val="16"/>
              </w:rPr>
              <w:t>Outcome-, proces- og balancing metrics sammen</w:t>
            </w:r>
          </w:p>
        </w:tc>
      </w:tr>
      <w:tr>
        <w:tc>
          <w:tcPr>
            <w:tcW w:type="dxa" w:w="2088"/>
            <w:tcMar>
              <w:top w:w="90" w:type="dxa"/>
              <w:start w:w="120" w:type="dxa"/>
              <w:bottom w:w="90" w:type="dxa"/>
              <w:end w:w="120" w:type="dxa"/>
            </w:tcMar>
            <w:vAlign w:val="center"/>
          </w:tcPr>
          <w:p>
            <w:pPr>
              <w:shd w:fill="F7F9FA"/>
              <w:spacing w:after="0" w:line="259" w:lineRule="auto"/>
            </w:pPr>
            <w:r>
              <w:rPr>
                <w:sz w:val="16"/>
              </w:rPr>
              <w:t>Constitutional inflation</w:t>
            </w:r>
          </w:p>
        </w:tc>
        <w:tc>
          <w:tcPr>
            <w:tcW w:type="dxa" w:w="3888"/>
            <w:tcMar>
              <w:top w:w="90" w:type="dxa"/>
              <w:start w:w="120" w:type="dxa"/>
              <w:bottom w:w="90" w:type="dxa"/>
              <w:end w:w="120" w:type="dxa"/>
            </w:tcMar>
            <w:vAlign w:val="center"/>
          </w:tcPr>
          <w:p>
            <w:pPr>
              <w:shd w:fill="F7F9FA"/>
              <w:spacing w:after="0" w:line="259" w:lineRule="auto"/>
            </w:pPr>
            <w:r>
              <w:rPr>
                <w:sz w:val="16"/>
              </w:rPr>
              <w:t>Ethvert vigtigt hensyn ophøjes til grundnorm</w:t>
            </w:r>
          </w:p>
        </w:tc>
        <w:tc>
          <w:tcPr>
            <w:tcW w:type="dxa" w:w="3384"/>
            <w:tcMar>
              <w:top w:w="90" w:type="dxa"/>
              <w:start w:w="120" w:type="dxa"/>
              <w:bottom w:w="90" w:type="dxa"/>
              <w:end w:w="120" w:type="dxa"/>
            </w:tcMar>
            <w:vAlign w:val="center"/>
          </w:tcPr>
          <w:p>
            <w:pPr>
              <w:shd w:fill="F7F9FA"/>
              <w:spacing w:after="0" w:line="259" w:lineRule="auto"/>
            </w:pPr>
            <w:r>
              <w:rPr>
                <w:sz w:val="16"/>
              </w:rPr>
              <w:t>Uafledbarhedstest og maksimum for artikler</w:t>
            </w:r>
          </w:p>
        </w:tc>
      </w:tr>
      <w:tr>
        <w:tc>
          <w:tcPr>
            <w:tcW w:type="dxa" w:w="2088"/>
            <w:tcMar>
              <w:top w:w="90" w:type="dxa"/>
              <w:start w:w="120" w:type="dxa"/>
              <w:bottom w:w="90" w:type="dxa"/>
              <w:end w:w="120" w:type="dxa"/>
            </w:tcMar>
            <w:vAlign w:val="center"/>
          </w:tcPr>
          <w:p>
            <w:pPr>
              <w:spacing w:after="0" w:line="259" w:lineRule="auto"/>
            </w:pPr>
            <w:r>
              <w:rPr>
                <w:sz w:val="16"/>
              </w:rPr>
              <w:t>Safety veto inflation</w:t>
            </w:r>
          </w:p>
        </w:tc>
        <w:tc>
          <w:tcPr>
            <w:tcW w:type="dxa" w:w="3888"/>
            <w:tcMar>
              <w:top w:w="90" w:type="dxa"/>
              <w:start w:w="120" w:type="dxa"/>
              <w:bottom w:w="90" w:type="dxa"/>
              <w:end w:w="120" w:type="dxa"/>
            </w:tcMar>
            <w:vAlign w:val="center"/>
          </w:tcPr>
          <w:p>
            <w:pPr>
              <w:spacing w:after="0" w:line="259" w:lineRule="auto"/>
            </w:pPr>
            <w:r>
              <w:rPr>
                <w:sz w:val="16"/>
              </w:rPr>
              <w:t>Usikkerhed bruges til permanent at stoppe læring</w:t>
            </w:r>
          </w:p>
        </w:tc>
        <w:tc>
          <w:tcPr>
            <w:tcW w:type="dxa" w:w="3384"/>
            <w:tcMar>
              <w:top w:w="90" w:type="dxa"/>
              <w:start w:w="120" w:type="dxa"/>
              <w:bottom w:w="90" w:type="dxa"/>
              <w:end w:w="120" w:type="dxa"/>
            </w:tcMar>
            <w:vAlign w:val="center"/>
          </w:tcPr>
          <w:p>
            <w:pPr>
              <w:spacing w:after="0" w:line="259" w:lineRule="auto"/>
            </w:pPr>
            <w:r>
              <w:rPr>
                <w:sz w:val="16"/>
              </w:rPr>
              <w:t>Tidsbundet beslutning, proportional pilot og evidensplan</w:t>
            </w:r>
          </w:p>
        </w:tc>
      </w:tr>
      <w:tr>
        <w:tc>
          <w:tcPr>
            <w:tcW w:type="dxa" w:w="2088"/>
            <w:tcMar>
              <w:top w:w="90" w:type="dxa"/>
              <w:start w:w="120" w:type="dxa"/>
              <w:bottom w:w="90" w:type="dxa"/>
              <w:end w:w="120" w:type="dxa"/>
            </w:tcMar>
            <w:vAlign w:val="center"/>
          </w:tcPr>
          <w:p>
            <w:pPr>
              <w:shd w:fill="F7F9FA"/>
              <w:spacing w:after="0" w:line="259" w:lineRule="auto"/>
            </w:pPr>
            <w:r>
              <w:rPr>
                <w:sz w:val="16"/>
              </w:rPr>
              <w:t>Product capture</w:t>
            </w:r>
          </w:p>
        </w:tc>
        <w:tc>
          <w:tcPr>
            <w:tcW w:type="dxa" w:w="3888"/>
            <w:tcMar>
              <w:top w:w="90" w:type="dxa"/>
              <w:start w:w="120" w:type="dxa"/>
              <w:bottom w:w="90" w:type="dxa"/>
              <w:end w:w="120" w:type="dxa"/>
            </w:tcMar>
            <w:vAlign w:val="center"/>
          </w:tcPr>
          <w:p>
            <w:pPr>
              <w:shd w:fill="F7F9FA"/>
              <w:spacing w:after="0" w:line="259" w:lineRule="auto"/>
            </w:pPr>
            <w:r>
              <w:rPr>
                <w:sz w:val="16"/>
              </w:rPr>
              <w:t>Governance bruges selektivt mod uønskede features</w:t>
            </w:r>
          </w:p>
        </w:tc>
        <w:tc>
          <w:tcPr>
            <w:tcW w:type="dxa" w:w="3384"/>
            <w:tcMar>
              <w:top w:w="90" w:type="dxa"/>
              <w:start w:w="120" w:type="dxa"/>
              <w:bottom w:w="90" w:type="dxa"/>
              <w:end w:w="120" w:type="dxa"/>
            </w:tcMar>
            <w:vAlign w:val="center"/>
          </w:tcPr>
          <w:p>
            <w:pPr>
              <w:shd w:fill="F7F9FA"/>
              <w:spacing w:after="0" w:line="259" w:lineRule="auto"/>
            </w:pPr>
            <w:r>
              <w:rPr>
                <w:sz w:val="16"/>
              </w:rPr>
              <w:t>Offentlig decision record og konsistent comparator</w:t>
            </w:r>
          </w:p>
        </w:tc>
      </w:tr>
    </w:tbl>
    <w:p>
      <w:pPr>
        <w:spacing w:after="0"/>
      </w:pPr>
    </w:p>
    <w:p>
      <w:pPr>
        <w:spacing w:before="100" w:after="180"/>
        <w:ind w:left="173" w:right="173"/>
        <w:shd w:fill="FCE8E6"/>
      </w:pPr>
      <w:r>
        <w:rPr>
          <w:b/>
          <w:color w:val="9B2C2C"/>
        </w:rPr>
        <w:t xml:space="preserve">Rød flag-test: </w:t>
      </w:r>
      <w:r>
        <w:t>Hvis efterlevelse kan dokumenteres uden at ændre kode, klinisk arbejdsgang, releasebeslutning eller monitorering, er governance sandsynligvis ceremoniel.</w:t>
      </w:r>
    </w:p>
    <w:p>
      <w:pPr>
        <w:pageBreakBefore/>
        <w:spacing w:after="60"/>
      </w:pPr>
      <w:r>
        <w:rPr>
          <w:b/>
          <w:color w:val="667085"/>
          <w:sz w:val="18"/>
        </w:rPr>
        <w:t>KOMMISSIONENS FÆLLES KRAV</w:t>
      </w:r>
    </w:p>
    <w:p>
      <w:pPr>
        <w:pStyle w:val="Heading1"/>
      </w:pPr>
      <w:r>
        <w:t>9. Fem P0-ændringer før ratificering</w:t>
      </w:r>
    </w:p>
    <w:p>
      <w:pPr>
        <w:pStyle w:val="ListNumber"/>
        <w:spacing w:after="80" w:line="300" w:lineRule="auto"/>
      </w:pPr>
      <w:r>
        <w:t>Indfør risikobaseret tailoring. Definér Lite, Standard og High-risk med klare klassifikationskriterier, obligatoriske artefakter, beslutningsejer og maksimal behandlingstid.</w:t>
      </w:r>
    </w:p>
    <w:p>
      <w:pPr>
        <w:pStyle w:val="ListNumber"/>
        <w:spacing w:after="80" w:line="300" w:lineRule="auto"/>
      </w:pPr>
      <w:r>
        <w:t>Indfør Regulatory Applicability &amp; Classification Gate. Fastlæg intended purpose, juridiske aktørroller, MDR/MDSW- og AI Act-status, QMS-ejer og gældende regulatoriske outputs.</w:t>
      </w:r>
    </w:p>
    <w:p>
      <w:pPr>
        <w:pStyle w:val="ListNumber"/>
        <w:spacing w:after="80" w:line="300" w:lineRule="auto"/>
      </w:pPr>
      <w:r>
        <w:t>Definér Consultation Impact Standard. Gør klinisk nytte, patientoplevelse, opmærksomhed, workflow, override og organisatoriske betingelser til releasekrav.</w:t>
      </w:r>
    </w:p>
    <w:p>
      <w:pPr>
        <w:pStyle w:val="ListNumber"/>
        <w:spacing w:after="80" w:line="300" w:lineRule="auto"/>
      </w:pPr>
      <w:r>
        <w:t>Indfør Roadmap Decision Record. Sammenlign klinisk værdi, risiko, lighed, opmærksomhedsbyrde, strategisk læring og opportunity cost — også for features, som er tilladelige.</w:t>
      </w:r>
    </w:p>
    <w:p>
      <w:pPr>
        <w:pStyle w:val="ListNumber"/>
        <w:spacing w:after="80" w:line="300" w:lineRule="auto"/>
      </w:pPr>
      <w:r>
        <w:t>Rekonstruér principhierarkiet. Adskil uafledbare forfatningsnormer fra afledte mellemprincipper og styringsteknikker; publicér et eksplicit derivation map.</w:t>
      </w:r>
    </w:p>
    <w:p>
      <w:pPr>
        <w:pStyle w:val="Heading2"/>
      </w:pPr>
      <w:r>
        <w:t>P1 — umiddelbart efter</w:t>
      </w:r>
    </w:p>
    <w:p>
      <w:pPr>
        <w:pStyle w:val="ListBullet"/>
        <w:spacing w:after="80" w:line="300" w:lineRule="auto"/>
      </w:pPr>
      <w:r>
        <w:t>Maskinlæsbart registry, linkintegritet og release-checks.</w:t>
      </w:r>
    </w:p>
    <w:p>
      <w:pPr>
        <w:pStyle w:val="ListBullet"/>
        <w:spacing w:after="80" w:line="300" w:lineRule="auto"/>
      </w:pPr>
      <w:r>
        <w:t>QMS-crosswalk for MDR/AI Act, CAPA, PMS/vigilance, supplier control, træning og dokumentretention.</w:t>
      </w:r>
    </w:p>
    <w:p>
      <w:pPr>
        <w:pStyle w:val="ListBullet"/>
        <w:spacing w:after="80" w:line="300" w:lineRule="auto"/>
      </w:pPr>
      <w:r>
        <w:t>Beslutnings-SLA, quorum, dissensregel og én accountable owner pr. gate.</w:t>
      </w:r>
    </w:p>
    <w:p>
      <w:pPr>
        <w:pStyle w:val="ListBullet"/>
        <w:spacing w:after="80" w:line="300" w:lineRule="auto"/>
      </w:pPr>
      <w:r>
        <w:t>Pilot med én lavrisiko- og én højrisiko-use case samt måling af governance cost.</w:t>
      </w:r>
    </w:p>
    <w:p>
      <w:pPr>
        <w:pStyle w:val="ListBullet"/>
        <w:spacing w:after="80" w:line="300" w:lineRule="auto"/>
      </w:pPr>
      <w:r>
        <w:t>Uafhængig audit af faktiske effekter, ikke kun dokumenttilstedeværelse.</w:t>
      </w:r>
    </w:p>
    <w:p>
      <w:pPr>
        <w:pageBreakBefore/>
        <w:spacing w:after="60"/>
      </w:pPr>
      <w:r>
        <w:rPr>
          <w:b/>
          <w:color w:val="667085"/>
          <w:sz w:val="18"/>
        </w:rPr>
        <w:t>FRAMEWORK V1.1 SOM ANVENDELIGT SYSTEM</w:t>
      </w:r>
    </w:p>
    <w:p>
      <w:pPr>
        <w:pStyle w:val="Heading1"/>
      </w:pPr>
      <w:r>
        <w:t>10. Minimal driftsmodel</w:t>
      </w:r>
    </w:p>
    <w:tbl>
      <w:tblPr>
        <w:tblW w:type="dxa" w:w="9360"/>
        <w:jc w:val="left"/>
        <w:tblLayout w:type="fixed"/>
        <w:tblLook w:firstColumn="1" w:firstRow="1" w:lastColumn="0" w:lastRow="0" w:noHBand="0" w:noVBand="1" w:val="04A0"/>
        <w:tblInd w:w="120" w:type="dxa"/>
      </w:tblPr>
      <w:tblGrid>
        <w:gridCol w:w="1440"/>
        <w:gridCol w:w="2592"/>
        <w:gridCol w:w="3816"/>
        <w:gridCol w:w="1512"/>
      </w:tblGrid>
      <w:tr>
        <w:trPr>
          <w:tblHeader/>
        </w:trPr>
        <w:tc>
          <w:tcPr>
            <w:tcW w:type="dxa" w:w="1440"/>
            <w:tcMar>
              <w:top w:w="90" w:type="dxa"/>
              <w:start w:w="120" w:type="dxa"/>
              <w:bottom w:w="90" w:type="dxa"/>
              <w:end w:w="120" w:type="dxa"/>
            </w:tcMar>
            <w:vAlign w:val="center"/>
          </w:tcPr>
          <w:p>
            <w:pPr>
              <w:shd w:fill="DCE6EB"/>
            </w:pPr>
            <w:r>
              <w:rPr>
                <w:b/>
                <w:color w:val="15324A"/>
                <w:sz w:val="15"/>
              </w:rPr>
              <w:t>Risk tier</w:t>
            </w:r>
          </w:p>
        </w:tc>
        <w:tc>
          <w:tcPr>
            <w:tcW w:type="dxa" w:w="2592"/>
            <w:tcMar>
              <w:top w:w="90" w:type="dxa"/>
              <w:start w:w="120" w:type="dxa"/>
              <w:bottom w:w="90" w:type="dxa"/>
              <w:end w:w="120" w:type="dxa"/>
            </w:tcMar>
            <w:vAlign w:val="center"/>
          </w:tcPr>
          <w:p>
            <w:pPr>
              <w:shd w:fill="DCE6EB"/>
            </w:pPr>
            <w:r>
              <w:rPr>
                <w:b/>
                <w:color w:val="15324A"/>
                <w:sz w:val="15"/>
              </w:rPr>
              <w:t>Eksempel</w:t>
            </w:r>
          </w:p>
        </w:tc>
        <w:tc>
          <w:tcPr>
            <w:tcW w:type="dxa" w:w="3816"/>
            <w:tcMar>
              <w:top w:w="90" w:type="dxa"/>
              <w:start w:w="120" w:type="dxa"/>
              <w:bottom w:w="90" w:type="dxa"/>
              <w:end w:w="120" w:type="dxa"/>
            </w:tcMar>
            <w:vAlign w:val="center"/>
          </w:tcPr>
          <w:p>
            <w:pPr>
              <w:shd w:fill="DCE6EB"/>
            </w:pPr>
            <w:r>
              <w:rPr>
                <w:b/>
                <w:color w:val="15324A"/>
                <w:sz w:val="15"/>
              </w:rPr>
              <w:t>Obligatorisk minimum</w:t>
            </w:r>
          </w:p>
        </w:tc>
        <w:tc>
          <w:tcPr>
            <w:tcW w:type="dxa" w:w="1512"/>
            <w:tcMar>
              <w:top w:w="90" w:type="dxa"/>
              <w:start w:w="120" w:type="dxa"/>
              <w:bottom w:w="90" w:type="dxa"/>
              <w:end w:w="120" w:type="dxa"/>
            </w:tcMar>
            <w:vAlign w:val="center"/>
          </w:tcPr>
          <w:p>
            <w:pPr>
              <w:shd w:fill="DCE6EB"/>
            </w:pPr>
            <w:r>
              <w:rPr>
                <w:b/>
                <w:color w:val="15324A"/>
                <w:sz w:val="15"/>
              </w:rPr>
              <w:t>Godkendelse</w:t>
            </w:r>
          </w:p>
        </w:tc>
      </w:tr>
      <w:tr>
        <w:tc>
          <w:tcPr>
            <w:tcW w:type="dxa" w:w="1440"/>
            <w:tcMar>
              <w:top w:w="90" w:type="dxa"/>
              <w:start w:w="120" w:type="dxa"/>
              <w:bottom w:w="90" w:type="dxa"/>
              <w:end w:w="120" w:type="dxa"/>
            </w:tcMar>
            <w:vAlign w:val="center"/>
          </w:tcPr>
          <w:p>
            <w:pPr>
              <w:spacing w:after="0" w:line="259" w:lineRule="auto"/>
            </w:pPr>
            <w:r>
              <w:rPr>
                <w:sz w:val="15"/>
              </w:rPr>
              <w:t>Lite</w:t>
            </w:r>
          </w:p>
        </w:tc>
        <w:tc>
          <w:tcPr>
            <w:tcW w:type="dxa" w:w="2592"/>
            <w:tcMar>
              <w:top w:w="90" w:type="dxa"/>
              <w:start w:w="120" w:type="dxa"/>
              <w:bottom w:w="90" w:type="dxa"/>
              <w:end w:w="120" w:type="dxa"/>
            </w:tcMar>
            <w:vAlign w:val="center"/>
          </w:tcPr>
          <w:p>
            <w:pPr>
              <w:spacing w:after="0" w:line="259" w:lineRule="auto"/>
            </w:pPr>
            <w:r>
              <w:rPr>
                <w:sz w:val="15"/>
              </w:rPr>
              <w:t>Tekstlig eller kosmetisk ændring uden klinisk effekt</w:t>
            </w:r>
          </w:p>
        </w:tc>
        <w:tc>
          <w:tcPr>
            <w:tcW w:type="dxa" w:w="3816"/>
            <w:tcMar>
              <w:top w:w="90" w:type="dxa"/>
              <w:start w:w="120" w:type="dxa"/>
              <w:bottom w:w="90" w:type="dxa"/>
              <w:end w:w="120" w:type="dxa"/>
            </w:tcMar>
            <w:vAlign w:val="center"/>
          </w:tcPr>
          <w:p>
            <w:pPr>
              <w:spacing w:after="0" w:line="259" w:lineRule="auto"/>
            </w:pPr>
            <w:r>
              <w:rPr>
                <w:sz w:val="15"/>
              </w:rPr>
              <w:t>Change note, tests, owner, rollback</w:t>
            </w:r>
          </w:p>
        </w:tc>
        <w:tc>
          <w:tcPr>
            <w:tcW w:type="dxa" w:w="1512"/>
            <w:tcMar>
              <w:top w:w="90" w:type="dxa"/>
              <w:start w:w="120" w:type="dxa"/>
              <w:bottom w:w="90" w:type="dxa"/>
              <w:end w:w="120" w:type="dxa"/>
            </w:tcMar>
            <w:vAlign w:val="center"/>
          </w:tcPr>
          <w:p>
            <w:pPr>
              <w:spacing w:after="0" w:line="259" w:lineRule="auto"/>
            </w:pPr>
            <w:r>
              <w:rPr>
                <w:sz w:val="15"/>
              </w:rPr>
              <w:t>Team owner; automatisk policy-check</w:t>
            </w:r>
          </w:p>
        </w:tc>
      </w:tr>
      <w:tr>
        <w:tc>
          <w:tcPr>
            <w:tcW w:type="dxa" w:w="1440"/>
            <w:tcMar>
              <w:top w:w="90" w:type="dxa"/>
              <w:start w:w="120" w:type="dxa"/>
              <w:bottom w:w="90" w:type="dxa"/>
              <w:end w:w="120" w:type="dxa"/>
            </w:tcMar>
            <w:vAlign w:val="center"/>
          </w:tcPr>
          <w:p>
            <w:pPr>
              <w:shd w:fill="F7F9FA"/>
              <w:spacing w:after="0" w:line="259" w:lineRule="auto"/>
            </w:pPr>
            <w:r>
              <w:rPr>
                <w:sz w:val="15"/>
              </w:rPr>
              <w:t>Standard</w:t>
            </w:r>
          </w:p>
        </w:tc>
        <w:tc>
          <w:tcPr>
            <w:tcW w:type="dxa" w:w="2592"/>
            <w:tcMar>
              <w:top w:w="90" w:type="dxa"/>
              <w:start w:w="120" w:type="dxa"/>
              <w:bottom w:w="90" w:type="dxa"/>
              <w:end w:w="120" w:type="dxa"/>
            </w:tcMar>
            <w:vAlign w:val="center"/>
          </w:tcPr>
          <w:p>
            <w:pPr>
              <w:shd w:fill="F7F9FA"/>
              <w:spacing w:after="0" w:line="259" w:lineRule="auto"/>
            </w:pPr>
            <w:r>
              <w:rPr>
                <w:sz w:val="15"/>
              </w:rPr>
              <w:t>Workflow- eller informationsændring med begrænset, reversibel effekt</w:t>
            </w:r>
          </w:p>
        </w:tc>
        <w:tc>
          <w:tcPr>
            <w:tcW w:type="dxa" w:w="3816"/>
            <w:tcMar>
              <w:top w:w="90" w:type="dxa"/>
              <w:start w:w="120" w:type="dxa"/>
              <w:bottom w:w="90" w:type="dxa"/>
              <w:end w:w="120" w:type="dxa"/>
            </w:tcMar>
            <w:vAlign w:val="center"/>
          </w:tcPr>
          <w:p>
            <w:pPr>
              <w:shd w:fill="F7F9FA"/>
              <w:spacing w:after="0" w:line="259" w:lineRule="auto"/>
            </w:pPr>
            <w:r>
              <w:rPr>
                <w:sz w:val="15"/>
              </w:rPr>
              <w:t>DP/ADR/PRD-links, hazard screen, evaluation, release record</w:t>
            </w:r>
          </w:p>
        </w:tc>
        <w:tc>
          <w:tcPr>
            <w:tcW w:type="dxa" w:w="1512"/>
            <w:tcMar>
              <w:top w:w="90" w:type="dxa"/>
              <w:start w:w="120" w:type="dxa"/>
              <w:bottom w:w="90" w:type="dxa"/>
              <w:end w:w="120" w:type="dxa"/>
            </w:tcMar>
            <w:vAlign w:val="center"/>
          </w:tcPr>
          <w:p>
            <w:pPr>
              <w:shd w:fill="F7F9FA"/>
              <w:spacing w:after="0" w:line="259" w:lineRule="auto"/>
            </w:pPr>
            <w:r>
              <w:rPr>
                <w:sz w:val="15"/>
              </w:rPr>
              <w:t>Produkt + relevant klinisk/safety concurrence</w:t>
            </w:r>
          </w:p>
        </w:tc>
      </w:tr>
      <w:tr>
        <w:tc>
          <w:tcPr>
            <w:tcW w:type="dxa" w:w="1440"/>
            <w:tcMar>
              <w:top w:w="90" w:type="dxa"/>
              <w:start w:w="120" w:type="dxa"/>
              <w:bottom w:w="90" w:type="dxa"/>
              <w:end w:w="120" w:type="dxa"/>
            </w:tcMar>
            <w:vAlign w:val="center"/>
          </w:tcPr>
          <w:p>
            <w:pPr>
              <w:spacing w:after="0" w:line="259" w:lineRule="auto"/>
            </w:pPr>
            <w:r>
              <w:rPr>
                <w:sz w:val="15"/>
              </w:rPr>
              <w:t>High-risk</w:t>
            </w:r>
          </w:p>
        </w:tc>
        <w:tc>
          <w:tcPr>
            <w:tcW w:type="dxa" w:w="2592"/>
            <w:tcMar>
              <w:top w:w="90" w:type="dxa"/>
              <w:start w:w="120" w:type="dxa"/>
              <w:bottom w:w="90" w:type="dxa"/>
              <w:end w:w="120" w:type="dxa"/>
            </w:tcMar>
            <w:vAlign w:val="center"/>
          </w:tcPr>
          <w:p>
            <w:pPr>
              <w:spacing w:after="0" w:line="259" w:lineRule="auto"/>
            </w:pPr>
            <w:r>
              <w:rPr>
                <w:sz w:val="15"/>
              </w:rPr>
              <w:t>Påvirker diagnose, behandling, prioritering, suppression eller sårbare grupper</w:t>
            </w:r>
          </w:p>
        </w:tc>
        <w:tc>
          <w:tcPr>
            <w:tcW w:type="dxa" w:w="3816"/>
            <w:tcMar>
              <w:top w:w="90" w:type="dxa"/>
              <w:start w:w="120" w:type="dxa"/>
              <w:bottom w:w="90" w:type="dxa"/>
              <w:end w:w="120" w:type="dxa"/>
            </w:tcMar>
            <w:vAlign w:val="center"/>
          </w:tcPr>
          <w:p>
            <w:pPr>
              <w:spacing w:after="0" w:line="259" w:lineRule="auto"/>
            </w:pPr>
            <w:r>
              <w:rPr>
                <w:sz w:val="15"/>
              </w:rPr>
              <w:t>Fuld kæde, classification, CSC, EP, clinical/regulatory evidence, RD, PMS</w:t>
            </w:r>
          </w:p>
        </w:tc>
        <w:tc>
          <w:tcPr>
            <w:tcW w:type="dxa" w:w="1512"/>
            <w:tcMar>
              <w:top w:w="90" w:type="dxa"/>
              <w:start w:w="120" w:type="dxa"/>
              <w:bottom w:w="90" w:type="dxa"/>
              <w:end w:w="120" w:type="dxa"/>
            </w:tcMar>
            <w:vAlign w:val="center"/>
          </w:tcPr>
          <w:p>
            <w:pPr>
              <w:spacing w:after="0" w:line="259" w:lineRule="auto"/>
            </w:pPr>
            <w:r>
              <w:rPr>
                <w:sz w:val="15"/>
              </w:rPr>
              <w:t>Én release owner + uafhængig Safety Board acceptance</w:t>
            </w:r>
          </w:p>
        </w:tc>
      </w:tr>
    </w:tbl>
    <w:p>
      <w:pPr>
        <w:spacing w:after="0"/>
      </w:pPr>
    </w:p>
    <w:p>
      <w:pPr>
        <w:pStyle w:val="Heading2"/>
      </w:pPr>
      <w:r>
        <w:t>Fire startfora</w:t>
      </w:r>
    </w:p>
    <w:p>
      <w:pPr>
        <w:pStyle w:val="ListBullet"/>
        <w:spacing w:after="80" w:line="300" w:lineRule="auto"/>
      </w:pPr>
      <w:r>
        <w:t>Constitution &amp; Ethics Council: Constitution, konflikter og patient-/samfundslegitimitet.</w:t>
      </w:r>
    </w:p>
    <w:p>
      <w:pPr>
        <w:pStyle w:val="ListBullet"/>
        <w:spacing w:after="80" w:line="300" w:lineRule="auto"/>
      </w:pPr>
      <w:r>
        <w:t>Clinical Safety &amp; Evidence Board: safety, evidens, clinical evaluation og regulatorisk concurrence.</w:t>
      </w:r>
    </w:p>
    <w:p>
      <w:pPr>
        <w:pStyle w:val="ListBullet"/>
        <w:spacing w:after="80" w:line="300" w:lineRule="auto"/>
      </w:pPr>
      <w:r>
        <w:t>Design &amp; Architecture Council: Design Principles, ADR og human factors.</w:t>
      </w:r>
    </w:p>
    <w:p>
      <w:pPr>
        <w:pStyle w:val="ListBullet"/>
        <w:spacing w:after="80" w:line="300" w:lineRule="auto"/>
      </w:pPr>
      <w:r>
        <w:t>Product &amp; Release Council: roadmap, PRD, release og operationel effekt.</w:t>
      </w:r>
    </w:p>
    <w:p>
      <w:r>
        <w:rPr>
          <w:rFonts w:ascii="Calibri" w:hAnsi="Calibri"/>
          <w:i w:val="0"/>
          <w:sz w:val="22"/>
        </w:rPr>
        <w:t>Patienter, privacy, security, quality og research skal være obligatoriske roller eller paneler efter scope — ikke nødvendigvis permanente råd fra dag ét. Separation of duties skal stadig håndhæves.</w:t>
      </w:r>
    </w:p>
    <w:p>
      <w:pPr>
        <w:spacing w:before="100" w:after="180"/>
        <w:ind w:left="173" w:right="173"/>
        <w:shd w:fill="E6F4EA"/>
      </w:pPr>
      <w:r>
        <w:rPr>
          <w:b/>
          <w:color w:val="216E39"/>
        </w:rPr>
        <w:t xml:space="preserve">Designmål: </w:t>
      </w:r>
      <w:r>
        <w:t>Governance skal gøre den sikre og velbegrundede vej lettere at følge end omgåelsen. Ellers producerer frameworket shadow governance.</w:t>
      </w:r>
    </w:p>
    <w:p>
      <w:pPr>
        <w:pageBreakBefore/>
        <w:spacing w:after="60"/>
      </w:pPr>
      <w:r>
        <w:rPr>
          <w:b/>
          <w:color w:val="667085"/>
          <w:sz w:val="18"/>
        </w:rPr>
        <w:t>SÅDAN AFGØRES OM GOVERNANCE VIRKER</w:t>
      </w:r>
    </w:p>
    <w:p>
      <w:pPr>
        <w:pStyle w:val="Heading1"/>
      </w:pPr>
      <w:r>
        <w:t>11. Verifikationsprogram</w:t>
      </w:r>
    </w:p>
    <w:tbl>
      <w:tblPr>
        <w:tblW w:type="dxa" w:w="9360"/>
        <w:jc w:val="left"/>
        <w:tblLayout w:type="fixed"/>
        <w:tblLook w:firstColumn="1" w:firstRow="1" w:lastColumn="0" w:lastRow="0" w:noHBand="0" w:noVBand="1" w:val="04A0"/>
        <w:tblInd w:w="120" w:type="dxa"/>
      </w:tblPr>
      <w:tblGrid>
        <w:gridCol w:w="2088"/>
        <w:gridCol w:w="3816"/>
        <w:gridCol w:w="3456"/>
      </w:tblGrid>
      <w:tr>
        <w:trPr>
          <w:tblHeader/>
        </w:trPr>
        <w:tc>
          <w:tcPr>
            <w:tcW w:type="dxa" w:w="2088"/>
            <w:tcMar>
              <w:top w:w="90" w:type="dxa"/>
              <w:start w:w="120" w:type="dxa"/>
              <w:bottom w:w="90" w:type="dxa"/>
              <w:end w:w="120" w:type="dxa"/>
            </w:tcMar>
            <w:vAlign w:val="center"/>
          </w:tcPr>
          <w:p>
            <w:pPr>
              <w:shd w:fill="DCE6EB"/>
            </w:pPr>
            <w:r>
              <w:rPr>
                <w:b/>
                <w:color w:val="15324A"/>
                <w:sz w:val="16"/>
              </w:rPr>
              <w:t>Test</w:t>
            </w:r>
          </w:p>
        </w:tc>
        <w:tc>
          <w:tcPr>
            <w:tcW w:type="dxa" w:w="3816"/>
            <w:tcMar>
              <w:top w:w="90" w:type="dxa"/>
              <w:start w:w="120" w:type="dxa"/>
              <w:bottom w:w="90" w:type="dxa"/>
              <w:end w:w="120" w:type="dxa"/>
            </w:tcMar>
            <w:vAlign w:val="center"/>
          </w:tcPr>
          <w:p>
            <w:pPr>
              <w:shd w:fill="DCE6EB"/>
            </w:pPr>
            <w:r>
              <w:rPr>
                <w:b/>
                <w:color w:val="15324A"/>
                <w:sz w:val="16"/>
              </w:rPr>
              <w:t>Indikator</w:t>
            </w:r>
          </w:p>
        </w:tc>
        <w:tc>
          <w:tcPr>
            <w:tcW w:type="dxa" w:w="3456"/>
            <w:tcMar>
              <w:top w:w="90" w:type="dxa"/>
              <w:start w:w="120" w:type="dxa"/>
              <w:bottom w:w="90" w:type="dxa"/>
              <w:end w:w="120" w:type="dxa"/>
            </w:tcMar>
            <w:vAlign w:val="center"/>
          </w:tcPr>
          <w:p>
            <w:pPr>
              <w:shd w:fill="DCE6EB"/>
            </w:pPr>
            <w:r>
              <w:rPr>
                <w:b/>
                <w:color w:val="15324A"/>
                <w:sz w:val="16"/>
              </w:rPr>
              <w:t>Bestået når</w:t>
            </w:r>
          </w:p>
        </w:tc>
      </w:tr>
      <w:tr>
        <w:tc>
          <w:tcPr>
            <w:tcW w:type="dxa" w:w="2088"/>
            <w:tcMar>
              <w:top w:w="90" w:type="dxa"/>
              <w:start w:w="120" w:type="dxa"/>
              <w:bottom w:w="90" w:type="dxa"/>
              <w:end w:w="120" w:type="dxa"/>
            </w:tcMar>
            <w:vAlign w:val="center"/>
          </w:tcPr>
          <w:p>
            <w:pPr>
              <w:spacing w:after="0" w:line="259" w:lineRule="auto"/>
            </w:pPr>
            <w:r>
              <w:rPr>
                <w:sz w:val="16"/>
              </w:rPr>
              <w:t>Developer usability</w:t>
            </w:r>
          </w:p>
        </w:tc>
        <w:tc>
          <w:tcPr>
            <w:tcW w:type="dxa" w:w="3816"/>
            <w:tcMar>
              <w:top w:w="90" w:type="dxa"/>
              <w:start w:w="120" w:type="dxa"/>
              <w:bottom w:w="90" w:type="dxa"/>
              <w:end w:w="120" w:type="dxa"/>
            </w:tcMar>
            <w:vAlign w:val="center"/>
          </w:tcPr>
          <w:p>
            <w:pPr>
              <w:spacing w:after="0" w:line="259" w:lineRule="auto"/>
            </w:pPr>
            <w:r>
              <w:rPr>
                <w:sz w:val="16"/>
              </w:rPr>
              <w:t>Tid og fejl ved klassifikation og artefaktoprettelse</w:t>
            </w:r>
          </w:p>
        </w:tc>
        <w:tc>
          <w:tcPr>
            <w:tcW w:type="dxa" w:w="3456"/>
            <w:tcMar>
              <w:top w:w="90" w:type="dxa"/>
              <w:start w:w="120" w:type="dxa"/>
              <w:bottom w:w="90" w:type="dxa"/>
              <w:end w:w="120" w:type="dxa"/>
            </w:tcMar>
            <w:vAlign w:val="center"/>
          </w:tcPr>
          <w:p>
            <w:pPr>
              <w:spacing w:after="0" w:line="259" w:lineRule="auto"/>
            </w:pPr>
            <w:r>
              <w:rPr>
                <w:sz w:val="16"/>
              </w:rPr>
              <w:t>≥80 % løser standardcase korrekt uden facilitator</w:t>
            </w:r>
          </w:p>
        </w:tc>
      </w:tr>
      <w:tr>
        <w:tc>
          <w:tcPr>
            <w:tcW w:type="dxa" w:w="2088"/>
            <w:tcMar>
              <w:top w:w="90" w:type="dxa"/>
              <w:start w:w="120" w:type="dxa"/>
              <w:bottom w:w="90" w:type="dxa"/>
              <w:end w:w="120" w:type="dxa"/>
            </w:tcMar>
            <w:vAlign w:val="center"/>
          </w:tcPr>
          <w:p>
            <w:pPr>
              <w:shd w:fill="F7F9FA"/>
              <w:spacing w:after="0" w:line="259" w:lineRule="auto"/>
            </w:pPr>
            <w:r>
              <w:rPr>
                <w:sz w:val="16"/>
              </w:rPr>
              <w:t>Decision latency</w:t>
            </w:r>
          </w:p>
        </w:tc>
        <w:tc>
          <w:tcPr>
            <w:tcW w:type="dxa" w:w="3816"/>
            <w:tcMar>
              <w:top w:w="90" w:type="dxa"/>
              <w:start w:w="120" w:type="dxa"/>
              <w:bottom w:w="90" w:type="dxa"/>
              <w:end w:w="120" w:type="dxa"/>
            </w:tcMar>
            <w:vAlign w:val="center"/>
          </w:tcPr>
          <w:p>
            <w:pPr>
              <w:shd w:fill="F7F9FA"/>
              <w:spacing w:after="0" w:line="259" w:lineRule="auto"/>
            </w:pPr>
            <w:r>
              <w:rPr>
                <w:sz w:val="16"/>
              </w:rPr>
              <w:t>Lead time pr. risk tier</w:t>
            </w:r>
          </w:p>
        </w:tc>
        <w:tc>
          <w:tcPr>
            <w:tcW w:type="dxa" w:w="3456"/>
            <w:tcMar>
              <w:top w:w="90" w:type="dxa"/>
              <w:start w:w="120" w:type="dxa"/>
              <w:bottom w:w="90" w:type="dxa"/>
              <w:end w:w="120" w:type="dxa"/>
            </w:tcMar>
            <w:vAlign w:val="center"/>
          </w:tcPr>
          <w:p>
            <w:pPr>
              <w:shd w:fill="F7F9FA"/>
              <w:spacing w:after="0" w:line="259" w:lineRule="auto"/>
            </w:pPr>
            <w:r>
              <w:rPr>
                <w:sz w:val="16"/>
              </w:rPr>
              <w:t>SLA overholdes uden flere uformelle genveje</w:t>
            </w:r>
          </w:p>
        </w:tc>
      </w:tr>
      <w:tr>
        <w:tc>
          <w:tcPr>
            <w:tcW w:type="dxa" w:w="2088"/>
            <w:tcMar>
              <w:top w:w="90" w:type="dxa"/>
              <w:start w:w="120" w:type="dxa"/>
              <w:bottom w:w="90" w:type="dxa"/>
              <w:end w:w="120" w:type="dxa"/>
            </w:tcMar>
            <w:vAlign w:val="center"/>
          </w:tcPr>
          <w:p>
            <w:pPr>
              <w:spacing w:after="0" w:line="259" w:lineRule="auto"/>
            </w:pPr>
            <w:r>
              <w:rPr>
                <w:sz w:val="16"/>
              </w:rPr>
              <w:t>Traceability integrity</w:t>
            </w:r>
          </w:p>
        </w:tc>
        <w:tc>
          <w:tcPr>
            <w:tcW w:type="dxa" w:w="3816"/>
            <w:tcMar>
              <w:top w:w="90" w:type="dxa"/>
              <w:start w:w="120" w:type="dxa"/>
              <w:bottom w:w="90" w:type="dxa"/>
              <w:end w:w="120" w:type="dxa"/>
            </w:tcMar>
            <w:vAlign w:val="center"/>
          </w:tcPr>
          <w:p>
            <w:pPr>
              <w:spacing w:after="0" w:line="259" w:lineRule="auto"/>
            </w:pPr>
            <w:r>
              <w:rPr>
                <w:sz w:val="16"/>
              </w:rPr>
              <w:t>Brudte/forældede normative links</w:t>
            </w:r>
          </w:p>
        </w:tc>
        <w:tc>
          <w:tcPr>
            <w:tcW w:type="dxa" w:w="3456"/>
            <w:tcMar>
              <w:top w:w="90" w:type="dxa"/>
              <w:start w:w="120" w:type="dxa"/>
              <w:bottom w:w="90" w:type="dxa"/>
              <w:end w:w="120" w:type="dxa"/>
            </w:tcMar>
            <w:vAlign w:val="center"/>
          </w:tcPr>
          <w:p>
            <w:pPr>
              <w:spacing w:after="0" w:line="259" w:lineRule="auto"/>
            </w:pPr>
            <w:r>
              <w:rPr>
                <w:sz w:val="16"/>
              </w:rPr>
              <w:t>0 kritiske brud ved release</w:t>
            </w:r>
          </w:p>
        </w:tc>
      </w:tr>
      <w:tr>
        <w:tc>
          <w:tcPr>
            <w:tcW w:type="dxa" w:w="2088"/>
            <w:tcMar>
              <w:top w:w="90" w:type="dxa"/>
              <w:start w:w="120" w:type="dxa"/>
              <w:bottom w:w="90" w:type="dxa"/>
              <w:end w:w="120" w:type="dxa"/>
            </w:tcMar>
            <w:vAlign w:val="center"/>
          </w:tcPr>
          <w:p>
            <w:pPr>
              <w:shd w:fill="F7F9FA"/>
              <w:spacing w:after="0" w:line="259" w:lineRule="auto"/>
            </w:pPr>
            <w:r>
              <w:rPr>
                <w:sz w:val="16"/>
              </w:rPr>
              <w:t>Clinical impact</w:t>
            </w:r>
          </w:p>
        </w:tc>
        <w:tc>
          <w:tcPr>
            <w:tcW w:type="dxa" w:w="3816"/>
            <w:tcMar>
              <w:top w:w="90" w:type="dxa"/>
              <w:start w:w="120" w:type="dxa"/>
              <w:bottom w:w="90" w:type="dxa"/>
              <w:end w:w="120" w:type="dxa"/>
            </w:tcMar>
            <w:vAlign w:val="center"/>
          </w:tcPr>
          <w:p>
            <w:pPr>
              <w:shd w:fill="F7F9FA"/>
              <w:spacing w:after="0" w:line="259" w:lineRule="auto"/>
            </w:pPr>
            <w:r>
              <w:rPr>
                <w:sz w:val="16"/>
              </w:rPr>
              <w:t>Tid, afbrydelser, override-kvalitet, patientforståelse</w:t>
            </w:r>
          </w:p>
        </w:tc>
        <w:tc>
          <w:tcPr>
            <w:tcW w:type="dxa" w:w="3456"/>
            <w:tcMar>
              <w:top w:w="90" w:type="dxa"/>
              <w:start w:w="120" w:type="dxa"/>
              <w:bottom w:w="90" w:type="dxa"/>
              <w:end w:w="120" w:type="dxa"/>
            </w:tcMar>
            <w:vAlign w:val="center"/>
          </w:tcPr>
          <w:p>
            <w:pPr>
              <w:shd w:fill="F7F9FA"/>
              <w:spacing w:after="0" w:line="259" w:lineRule="auto"/>
            </w:pPr>
            <w:r>
              <w:rPr>
                <w:sz w:val="16"/>
              </w:rPr>
              <w:t>Foruddefineret nytte uden uacceptabel balancing harm</w:t>
            </w:r>
          </w:p>
        </w:tc>
      </w:tr>
      <w:tr>
        <w:tc>
          <w:tcPr>
            <w:tcW w:type="dxa" w:w="2088"/>
            <w:tcMar>
              <w:top w:w="90" w:type="dxa"/>
              <w:start w:w="120" w:type="dxa"/>
              <w:bottom w:w="90" w:type="dxa"/>
              <w:end w:w="120" w:type="dxa"/>
            </w:tcMar>
            <w:vAlign w:val="center"/>
          </w:tcPr>
          <w:p>
            <w:pPr>
              <w:spacing w:after="0" w:line="259" w:lineRule="auto"/>
            </w:pPr>
            <w:r>
              <w:rPr>
                <w:sz w:val="16"/>
              </w:rPr>
              <w:t>Regulatory readiness</w:t>
            </w:r>
          </w:p>
        </w:tc>
        <w:tc>
          <w:tcPr>
            <w:tcW w:type="dxa" w:w="3816"/>
            <w:tcMar>
              <w:top w:w="90" w:type="dxa"/>
              <w:start w:w="120" w:type="dxa"/>
              <w:bottom w:w="90" w:type="dxa"/>
              <w:end w:w="120" w:type="dxa"/>
            </w:tcMar>
            <w:vAlign w:val="center"/>
          </w:tcPr>
          <w:p>
            <w:pPr>
              <w:spacing w:after="0" w:line="259" w:lineRule="auto"/>
            </w:pPr>
            <w:r>
              <w:rPr>
                <w:sz w:val="16"/>
              </w:rPr>
              <w:t>Crosswalk og audit evidence</w:t>
            </w:r>
          </w:p>
        </w:tc>
        <w:tc>
          <w:tcPr>
            <w:tcW w:type="dxa" w:w="3456"/>
            <w:tcMar>
              <w:top w:w="90" w:type="dxa"/>
              <w:start w:w="120" w:type="dxa"/>
              <w:bottom w:w="90" w:type="dxa"/>
              <w:end w:w="120" w:type="dxa"/>
            </w:tcMar>
            <w:vAlign w:val="center"/>
          </w:tcPr>
          <w:p>
            <w:pPr>
              <w:spacing w:after="0" w:line="259" w:lineRule="auto"/>
            </w:pPr>
            <w:r>
              <w:rPr>
                <w:sz w:val="16"/>
              </w:rPr>
              <w:t>Alle gældende krav har owner, procedure og evidens</w:t>
            </w:r>
          </w:p>
        </w:tc>
      </w:tr>
      <w:tr>
        <w:tc>
          <w:tcPr>
            <w:tcW w:type="dxa" w:w="2088"/>
            <w:tcMar>
              <w:top w:w="90" w:type="dxa"/>
              <w:start w:w="120" w:type="dxa"/>
              <w:bottom w:w="90" w:type="dxa"/>
              <w:end w:w="120" w:type="dxa"/>
            </w:tcMar>
            <w:vAlign w:val="center"/>
          </w:tcPr>
          <w:p>
            <w:pPr>
              <w:shd w:fill="F7F9FA"/>
              <w:spacing w:after="0" w:line="259" w:lineRule="auto"/>
            </w:pPr>
            <w:r>
              <w:rPr>
                <w:sz w:val="16"/>
              </w:rPr>
              <w:t>Roadmap discipline</w:t>
            </w:r>
          </w:p>
        </w:tc>
        <w:tc>
          <w:tcPr>
            <w:tcW w:type="dxa" w:w="3816"/>
            <w:tcMar>
              <w:top w:w="90" w:type="dxa"/>
              <w:start w:w="120" w:type="dxa"/>
              <w:bottom w:w="90" w:type="dxa"/>
              <w:end w:w="120" w:type="dxa"/>
            </w:tcMar>
            <w:vAlign w:val="center"/>
          </w:tcPr>
          <w:p>
            <w:pPr>
              <w:shd w:fill="F7F9FA"/>
              <w:spacing w:after="0" w:line="259" w:lineRule="auto"/>
            </w:pPr>
            <w:r>
              <w:rPr>
                <w:sz w:val="16"/>
              </w:rPr>
              <w:t>Stoppede, ændrede og fravalgte initiativer</w:t>
            </w:r>
          </w:p>
        </w:tc>
        <w:tc>
          <w:tcPr>
            <w:tcW w:type="dxa" w:w="3456"/>
            <w:tcMar>
              <w:top w:w="90" w:type="dxa"/>
              <w:start w:w="120" w:type="dxa"/>
              <w:bottom w:w="90" w:type="dxa"/>
              <w:end w:w="120" w:type="dxa"/>
            </w:tcMar>
            <w:vAlign w:val="center"/>
          </w:tcPr>
          <w:p>
            <w:pPr>
              <w:shd w:fill="F7F9FA"/>
              <w:spacing w:after="0" w:line="259" w:lineRule="auto"/>
            </w:pPr>
            <w:r>
              <w:rPr>
                <w:sz w:val="16"/>
              </w:rPr>
              <w:t>Governance påvirker faktisk porteføljen</w:t>
            </w:r>
          </w:p>
        </w:tc>
      </w:tr>
      <w:tr>
        <w:tc>
          <w:tcPr>
            <w:tcW w:type="dxa" w:w="2088"/>
            <w:tcMar>
              <w:top w:w="90" w:type="dxa"/>
              <w:start w:w="120" w:type="dxa"/>
              <w:bottom w:w="90" w:type="dxa"/>
              <w:end w:w="120" w:type="dxa"/>
            </w:tcMar>
            <w:vAlign w:val="center"/>
          </w:tcPr>
          <w:p>
            <w:pPr>
              <w:spacing w:after="0" w:line="259" w:lineRule="auto"/>
            </w:pPr>
            <w:r>
              <w:rPr>
                <w:sz w:val="16"/>
              </w:rPr>
              <w:t>Learning closure</w:t>
            </w:r>
          </w:p>
        </w:tc>
        <w:tc>
          <w:tcPr>
            <w:tcW w:type="dxa" w:w="3816"/>
            <w:tcMar>
              <w:top w:w="90" w:type="dxa"/>
              <w:start w:w="120" w:type="dxa"/>
              <w:bottom w:w="90" w:type="dxa"/>
              <w:end w:w="120" w:type="dxa"/>
            </w:tcMar>
            <w:vAlign w:val="center"/>
          </w:tcPr>
          <w:p>
            <w:pPr>
              <w:spacing w:after="0" w:line="259" w:lineRule="auto"/>
            </w:pPr>
            <w:r>
              <w:rPr>
                <w:sz w:val="16"/>
              </w:rPr>
              <w:t>ILR/CAPA med upstream-ændring</w:t>
            </w:r>
          </w:p>
        </w:tc>
        <w:tc>
          <w:tcPr>
            <w:tcW w:type="dxa" w:w="3456"/>
            <w:tcMar>
              <w:top w:w="90" w:type="dxa"/>
              <w:start w:w="120" w:type="dxa"/>
              <w:bottom w:w="90" w:type="dxa"/>
              <w:end w:w="120" w:type="dxa"/>
            </w:tcMar>
            <w:vAlign w:val="center"/>
          </w:tcPr>
          <w:p>
            <w:pPr>
              <w:spacing w:after="0" w:line="259" w:lineRule="auto"/>
            </w:pPr>
            <w:r>
              <w:rPr>
                <w:sz w:val="16"/>
              </w:rPr>
              <w:t>Årsag og styringssvigt lukkes inden SLA</w:t>
            </w:r>
          </w:p>
        </w:tc>
      </w:tr>
      <w:tr>
        <w:tc>
          <w:tcPr>
            <w:tcW w:type="dxa" w:w="2088"/>
            <w:tcMar>
              <w:top w:w="90" w:type="dxa"/>
              <w:start w:w="120" w:type="dxa"/>
              <w:bottom w:w="90" w:type="dxa"/>
              <w:end w:w="120" w:type="dxa"/>
            </w:tcMar>
            <w:vAlign w:val="center"/>
          </w:tcPr>
          <w:p>
            <w:pPr>
              <w:shd w:fill="F7F9FA"/>
              <w:spacing w:after="0" w:line="259" w:lineRule="auto"/>
            </w:pPr>
            <w:r>
              <w:rPr>
                <w:sz w:val="16"/>
              </w:rPr>
              <w:t>Independence</w:t>
            </w:r>
          </w:p>
        </w:tc>
        <w:tc>
          <w:tcPr>
            <w:tcW w:type="dxa" w:w="3816"/>
            <w:tcMar>
              <w:top w:w="90" w:type="dxa"/>
              <w:start w:w="120" w:type="dxa"/>
              <w:bottom w:w="90" w:type="dxa"/>
              <w:end w:w="120" w:type="dxa"/>
            </w:tcMar>
            <w:vAlign w:val="center"/>
          </w:tcPr>
          <w:p>
            <w:pPr>
              <w:shd w:fill="F7F9FA"/>
              <w:spacing w:after="0" w:line="259" w:lineRule="auto"/>
            </w:pPr>
            <w:r>
              <w:rPr>
                <w:sz w:val="16"/>
              </w:rPr>
              <w:t>Selvgodkendelse og interessekonflikter</w:t>
            </w:r>
          </w:p>
        </w:tc>
        <w:tc>
          <w:tcPr>
            <w:tcW w:type="dxa" w:w="3456"/>
            <w:tcMar>
              <w:top w:w="90" w:type="dxa"/>
              <w:start w:w="120" w:type="dxa"/>
              <w:bottom w:w="90" w:type="dxa"/>
              <w:end w:w="120" w:type="dxa"/>
            </w:tcMar>
            <w:vAlign w:val="center"/>
          </w:tcPr>
          <w:p>
            <w:pPr>
              <w:shd w:fill="F7F9FA"/>
              <w:spacing w:after="0" w:line="259" w:lineRule="auto"/>
            </w:pPr>
            <w:r>
              <w:rPr>
                <w:sz w:val="16"/>
              </w:rPr>
              <w:t>0 udeklarerede konflikter; sampling af afgørelser</w:t>
            </w:r>
          </w:p>
        </w:tc>
      </w:tr>
    </w:tbl>
    <w:p>
      <w:pPr>
        <w:spacing w:after="0"/>
      </w:pPr>
    </w:p>
    <w:p>
      <w:pPr>
        <w:pStyle w:val="Heading2"/>
      </w:pPr>
      <w:r>
        <w:t>Stress-test-scenarie</w:t>
      </w:r>
    </w:p>
    <w:p>
      <w:r>
        <w:rPr>
          <w:rFonts w:ascii="Calibri" w:hAnsi="Calibri"/>
          <w:i w:val="0"/>
          <w:sz w:val="22"/>
        </w:rPr>
        <w:t>Vælg en funktion, der prioriterer indkomne kliniske data og kan undertrykke lavt prioriterede signaler. Kør den fulde governancevej, inklusive regulatorisk klassifikation, realistisk konsultationstest, subgroup-analyse, rollback og en simuleret near miss. Mål både klinisk kvalitet og governance cost. Frameworket består først, når det ændrer mindst én produktbeslutning på et dokumenterbart grundlag.</w:t>
      </w:r>
    </w:p>
    <w:p>
      <w:pPr>
        <w:pageBreakBefore/>
        <w:spacing w:after="60"/>
      </w:pPr>
      <w:r>
        <w:rPr>
          <w:b/>
          <w:color w:val="667085"/>
          <w:sz w:val="18"/>
        </w:rPr>
        <w:t>BESLUTNING</w:t>
      </w:r>
    </w:p>
    <w:p>
      <w:pPr>
        <w:pStyle w:val="Heading1"/>
      </w:pPr>
      <w:r>
        <w:t>12. Endelig kommissionsdom</w:t>
      </w:r>
    </w:p>
    <w:p>
      <w:r>
        <w:rPr>
          <w:rFonts w:ascii="Calibri" w:hAnsi="Calibri"/>
          <w:i w:val="0"/>
          <w:sz w:val="22"/>
        </w:rPr>
        <w:t>Cortex Governance Framework v1.0 er stærkere end de fleste tidlige AI-governanceforsøg, fordi det forbinder filosofi, arkitektur, produkt, release og læring. Dets svaghed er den samme som dets styrke: det har allerede form som en moden institution, før organisationen har bevist, at processerne kan bæres, at principperne er deduktivt ryddelige, eller at kliniske og regulatoriske effekter kan eftervises.</w:t>
      </w:r>
    </w:p>
    <w:p>
      <w:pPr>
        <w:spacing w:before="100" w:after="180"/>
        <w:ind w:left="173" w:right="173"/>
        <w:shd w:fill="FFF4CE"/>
      </w:pPr>
      <w:r>
        <w:rPr>
          <w:b/>
          <w:color w:val="8A6400"/>
        </w:rPr>
        <w:t xml:space="preserve">Anbefaling: </w:t>
      </w:r>
      <w:r>
        <w:t>Ratificér arkitekturen som PROVISIONAL v1.0 med et seksmåneders pilotmandat. Ratificér ikke dens fulde procesbyrde som permanent Constitution-ledsager. Kræv de fem P0-ændringer, to end-to-end pilots og en uafhængig outcome audit før status ACTIVE.</w:t>
      </w:r>
    </w:p>
    <w:p>
      <w:pPr>
        <w:pStyle w:val="Heading2"/>
      </w:pPr>
      <w:r>
        <w:t>Hvad der skal bevares</w:t>
      </w:r>
    </w:p>
    <w:p>
      <w:pPr>
        <w:pStyle w:val="ListBullet"/>
        <w:spacing w:after="80" w:line="300" w:lineRule="auto"/>
      </w:pPr>
      <w:r>
        <w:t>Forrang mellem dokumentlag.</w:t>
      </w:r>
    </w:p>
    <w:p>
      <w:pPr>
        <w:pStyle w:val="ListBullet"/>
        <w:spacing w:after="80" w:line="300" w:lineRule="auto"/>
      </w:pPr>
      <w:r>
        <w:t>Anti-laundering og anti-omgåelse.</w:t>
      </w:r>
    </w:p>
    <w:p>
      <w:pPr>
        <w:pStyle w:val="ListBullet"/>
        <w:spacing w:after="80" w:line="300" w:lineRule="auto"/>
      </w:pPr>
      <w:r>
        <w:t>Bidirektionel sporbarhed fra norm til effekt.</w:t>
      </w:r>
    </w:p>
    <w:p>
      <w:pPr>
        <w:pStyle w:val="ListBullet"/>
        <w:spacing w:after="80" w:line="300" w:lineRule="auto"/>
      </w:pPr>
      <w:r>
        <w:t>Safety Case, Evaluation Protocol og Release Dossier som risikobaserede gates.</w:t>
      </w:r>
    </w:p>
    <w:p>
      <w:pPr>
        <w:pStyle w:val="ListBullet"/>
        <w:spacing w:after="80" w:line="300" w:lineRule="auto"/>
      </w:pPr>
      <w:r>
        <w:t>Læring, der kan ændre upstream-principper — ikke kun kode.</w:t>
      </w:r>
    </w:p>
    <w:p>
      <w:pPr>
        <w:pStyle w:val="Heading2"/>
      </w:pPr>
      <w:r>
        <w:t>Hvad der skal ændres</w:t>
      </w:r>
    </w:p>
    <w:p>
      <w:pPr>
        <w:pStyle w:val="ListBullet"/>
        <w:spacing w:after="80" w:line="300" w:lineRule="auto"/>
      </w:pPr>
      <w:r>
        <w:t>Fra universel proces til risikobaseret proces.</w:t>
      </w:r>
    </w:p>
    <w:p>
      <w:pPr>
        <w:pStyle w:val="ListBullet"/>
        <w:spacing w:after="80" w:line="300" w:lineRule="auto"/>
      </w:pPr>
      <w:r>
        <w:t>Fra governance-dokumentation til QMS- og regulatorisk mapping.</w:t>
      </w:r>
    </w:p>
    <w:p>
      <w:pPr>
        <w:pStyle w:val="ListBullet"/>
        <w:spacing w:after="80" w:line="300" w:lineRule="auto"/>
      </w:pPr>
      <w:r>
        <w:t>Fra abstrakt klinisk beskyttelse til målbar konsultationseffekt.</w:t>
      </w:r>
    </w:p>
    <w:p>
      <w:pPr>
        <w:pStyle w:val="ListBullet"/>
        <w:spacing w:after="80" w:line="300" w:lineRule="auto"/>
      </w:pPr>
      <w:r>
        <w:t>Fra veto til eksplicit porteføljeprioritering.</w:t>
      </w:r>
    </w:p>
    <w:p>
      <w:pPr>
        <w:pStyle w:val="ListBullet"/>
        <w:spacing w:after="80" w:line="300" w:lineRule="auto"/>
      </w:pPr>
      <w:r>
        <w:t>Fra mange værdier til et transparent hierarki af grundnormer og afledte principper.</w:t>
      </w:r>
    </w:p>
    <w:p>
      <w:pPr>
        <w:spacing w:before="100" w:after="180"/>
        <w:ind w:left="173" w:right="173"/>
        <w:shd w:fill="E6F4EA"/>
      </w:pPr>
      <w:r>
        <w:rPr>
          <w:b/>
          <w:color w:val="216E39"/>
        </w:rPr>
        <w:t xml:space="preserve">Slutkriterium: </w:t>
      </w:r>
      <w:r>
        <w:t>Frameworket er ikke vellykket, når alle felter er udfyldt. Det er vellykket, når det konsekvent forbedrer beslutninger, gør risici synlige, stopper ubegrundede releases og kan dokumentere bedre klinisk arbejde uden uforholdsmæssig styringsbyrde.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CORTEX · UAFHÆNGIG STRESS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5324A"/>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C607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2F6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line="240" w:lineRule="auto"/>
    </w:pPr>
    <w:rPr>
      <w:rFonts w:asciiTheme="majorHAnsi" w:eastAsiaTheme="majorEastAsia" w:hAnsiTheme="majorHAnsi" w:cstheme="majorBidi" w:ascii="Calibri" w:hAnsi="Calibri"/>
      <w:b w:val="0"/>
      <w:i/>
      <w:iCs/>
      <w:color w:val="2C60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Stress test af Cortex Governance Framework v1.0</dc:title>
  <dc:subject>Fem uafhængige reviews: arkitektur, regulering, klinik, produkt og filosofi</dc:subject>
  <dc:creator>Cortex Independent Review Commission</dc:creator>
  <cp:keywords>Cortex, governance, MDR, AI Act, clinical safety, architecture, philosophy</cp:keywords>
  <dc:description>generated by python-docx</dc:description>
  <cp:lastModifiedBy/>
  <cp:revision>1</cp:revision>
  <dcterms:created xsi:type="dcterms:W3CDTF">2013-12-23T23:15:00Z</dcterms:created>
  <dcterms:modified xsi:type="dcterms:W3CDTF">2013-12-23T23:15:00Z</dcterms:modified>
  <cp:category/>
</cp:coreProperties>
</file>