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8A6400"/>
          <w:sz w:val="20"/>
        </w:rPr>
        <w:t>UAFHÆNGIG KOMMISSIONSBETÆNKNING</w:t>
      </w:r>
    </w:p>
    <w:p>
      <w:pPr>
        <w:pStyle w:val="Title"/>
        <w:jc w:val="center"/>
      </w:pPr>
      <w:r>
        <w:t>Ratificering af Cortex Constitution</w:t>
      </w:r>
    </w:p>
    <w:p>
      <w:pPr>
        <w:pStyle w:val="Subtitle"/>
        <w:jc w:val="center"/>
      </w:pPr>
      <w:r>
        <w:t>Hvilke principper fortjener permanent forfatningsstatus?</w:t>
      </w:r>
    </w:p>
    <w:p>
      <w:pPr>
        <w:spacing w:after="720"/>
        <w:jc w:val="center"/>
      </w:pPr>
      <w:r>
        <w:t>Kommission for filosofi, klinisk praksis, etik, human factors og softwarearkitektur</w:t>
      </w:r>
    </w:p>
    <w:p>
      <w:pPr>
        <w:spacing w:before="100" w:after="180"/>
        <w:ind w:left="173" w:right="173"/>
        <w:shd w:fill="EEF3F6"/>
      </w:pPr>
      <w:r>
        <w:rPr>
          <w:b/>
          <w:color w:val="15324A"/>
        </w:rPr>
        <w:t xml:space="preserve">Kommissionens mandat: </w:t>
      </w:r>
      <w:r>
        <w:t>Kun principper, der er nødvendige for Cortex’ identitet, tidløse på 20 års sigt og styrende i konkrete konflikter, kan ratificeres.</w:t>
      </w:r>
    </w:p>
    <w:p>
      <w:r>
        <w:br w:type="page"/>
      </w:r>
    </w:p>
    <w:p>
      <w:pPr>
        <w:spacing w:after="60"/>
      </w:pPr>
      <w:r>
        <w:rPr>
          <w:b/>
          <w:color w:val="667085"/>
          <w:sz w:val="18"/>
        </w:rPr>
        <w:t>RESULTAT</w:t>
      </w:r>
    </w:p>
    <w:p>
      <w:pPr>
        <w:pStyle w:val="Heading1"/>
      </w:pPr>
      <w:r>
        <w:t>Kommissionens dom</w:t>
      </w:r>
    </w:p>
    <w:p>
      <w:r>
        <w:rPr>
          <w:rFonts w:ascii="Calibri" w:hAnsi="Calibri"/>
          <w:i w:val="0"/>
          <w:sz w:val="22"/>
        </w:rPr>
        <w:t>Det eksisterende manuskript indeholder langt flere værdifulde erkendelser end forfatningsegnede principper. Kommissionen har identificeret tolv centrale kandidater. Kun otte fortjener selvstændig eller sammenlagt forfatningsstatus. Fire bør flyttes til position papers, fordi de kan afledes af dybere artikler.</w:t>
      </w:r>
    </w:p>
    <w:tbl>
      <w:tblPr>
        <w:tblW w:type="dxa" w:w="9360"/>
        <w:jc w:val="left"/>
        <w:tblLayout w:type="fixed"/>
        <w:tblLook w:firstColumn="1" w:firstRow="1" w:lastColumn="0" w:lastRow="0" w:noHBand="0" w:noVBand="1" w:val="04A0"/>
        <w:tblInd w:w="120" w:type="dxa"/>
      </w:tblPr>
      <w:tblGrid>
        <w:gridCol w:w="2880"/>
        <w:gridCol w:w="1152"/>
        <w:gridCol w:w="5328"/>
      </w:tblGrid>
      <w:tr>
        <w:trPr>
          <w:tblHeader/>
        </w:trPr>
        <w:tc>
          <w:tcPr>
            <w:tcW w:type="dxa" w:w="2880"/>
            <w:tcMar>
              <w:top w:w="90" w:type="dxa"/>
              <w:start w:w="120" w:type="dxa"/>
              <w:bottom w:w="90" w:type="dxa"/>
              <w:end w:w="120" w:type="dxa"/>
            </w:tcMar>
            <w:vAlign w:val="center"/>
          </w:tcPr>
          <w:p>
            <w:pPr>
              <w:shd w:fill="DCE6EB"/>
            </w:pPr>
            <w:r>
              <w:rPr>
                <w:b/>
                <w:color w:val="15324A"/>
                <w:sz w:val="18"/>
              </w:rPr>
              <w:t>Udfald</w:t>
            </w:r>
          </w:p>
        </w:tc>
        <w:tc>
          <w:tcPr>
            <w:tcW w:type="dxa" w:w="1152"/>
            <w:tcMar>
              <w:top w:w="90" w:type="dxa"/>
              <w:start w:w="120" w:type="dxa"/>
              <w:bottom w:w="90" w:type="dxa"/>
              <w:end w:w="120" w:type="dxa"/>
            </w:tcMar>
            <w:vAlign w:val="center"/>
          </w:tcPr>
          <w:p>
            <w:pPr>
              <w:shd w:fill="DCE6EB"/>
            </w:pPr>
            <w:r>
              <w:rPr>
                <w:b/>
                <w:color w:val="15324A"/>
                <w:sz w:val="18"/>
              </w:rPr>
              <w:t>Antal</w:t>
            </w:r>
          </w:p>
        </w:tc>
        <w:tc>
          <w:tcPr>
            <w:tcW w:type="dxa" w:w="5328"/>
            <w:tcMar>
              <w:top w:w="90" w:type="dxa"/>
              <w:start w:w="120" w:type="dxa"/>
              <w:bottom w:w="90" w:type="dxa"/>
              <w:end w:w="120" w:type="dxa"/>
            </w:tcMar>
            <w:vAlign w:val="center"/>
          </w:tcPr>
          <w:p>
            <w:pPr>
              <w:shd w:fill="DCE6EB"/>
            </w:pPr>
            <w:r>
              <w:rPr>
                <w:b/>
                <w:color w:val="15324A"/>
                <w:sz w:val="18"/>
              </w:rPr>
              <w:t>Betydning</w:t>
            </w:r>
          </w:p>
        </w:tc>
      </w:tr>
      <w:tr>
        <w:tc>
          <w:tcPr>
            <w:tcW w:type="dxa" w:w="2880"/>
            <w:tcMar>
              <w:top w:w="90" w:type="dxa"/>
              <w:start w:w="120" w:type="dxa"/>
              <w:bottom w:w="90" w:type="dxa"/>
              <w:end w:w="120" w:type="dxa"/>
            </w:tcMar>
            <w:vAlign w:val="center"/>
          </w:tcPr>
          <w:p>
            <w:pPr>
              <w:spacing w:after="0" w:line="259" w:lineRule="auto"/>
            </w:pPr>
            <w:r>
              <w:rPr>
                <w:sz w:val="18"/>
              </w:rPr>
              <w:t>Ratificér uændret</w:t>
            </w:r>
          </w:p>
        </w:tc>
        <w:tc>
          <w:tcPr>
            <w:tcW w:type="dxa" w:w="1152"/>
            <w:tcMar>
              <w:top w:w="90" w:type="dxa"/>
              <w:start w:w="120" w:type="dxa"/>
              <w:bottom w:w="90" w:type="dxa"/>
              <w:end w:w="120" w:type="dxa"/>
            </w:tcMar>
            <w:vAlign w:val="center"/>
          </w:tcPr>
          <w:p>
            <w:pPr>
              <w:spacing w:after="0" w:line="259" w:lineRule="auto"/>
            </w:pPr>
            <w:r>
              <w:rPr>
                <w:sz w:val="18"/>
              </w:rPr>
              <w:t>0</w:t>
            </w:r>
          </w:p>
        </w:tc>
        <w:tc>
          <w:tcPr>
            <w:tcW w:type="dxa" w:w="5328"/>
            <w:tcMar>
              <w:top w:w="90" w:type="dxa"/>
              <w:start w:w="120" w:type="dxa"/>
              <w:bottom w:w="90" w:type="dxa"/>
              <w:end w:w="120" w:type="dxa"/>
            </w:tcMar>
            <w:vAlign w:val="center"/>
          </w:tcPr>
          <w:p>
            <w:pPr>
              <w:spacing w:after="0" w:line="259" w:lineRule="auto"/>
            </w:pPr>
            <w:r>
              <w:rPr>
                <w:sz w:val="18"/>
              </w:rPr>
              <w:t>Ingen eksisterende formulering er både tilstrækkeligt præcis og konfliktrobust.</w:t>
            </w:r>
          </w:p>
        </w:tc>
      </w:tr>
      <w:tr>
        <w:tc>
          <w:tcPr>
            <w:tcW w:type="dxa" w:w="2880"/>
            <w:tcMar>
              <w:top w:w="90" w:type="dxa"/>
              <w:start w:w="120" w:type="dxa"/>
              <w:bottom w:w="90" w:type="dxa"/>
              <w:end w:w="120" w:type="dxa"/>
            </w:tcMar>
            <w:vAlign w:val="center"/>
          </w:tcPr>
          <w:p>
            <w:pPr>
              <w:shd w:fill="F7F9FA"/>
              <w:spacing w:after="0" w:line="259" w:lineRule="auto"/>
            </w:pPr>
            <w:r>
              <w:rPr>
                <w:sz w:val="18"/>
              </w:rPr>
              <w:t>Ratificér efter omskrivning</w:t>
            </w:r>
          </w:p>
        </w:tc>
        <w:tc>
          <w:tcPr>
            <w:tcW w:type="dxa" w:w="1152"/>
            <w:tcMar>
              <w:top w:w="90" w:type="dxa"/>
              <w:start w:w="120" w:type="dxa"/>
              <w:bottom w:w="90" w:type="dxa"/>
              <w:end w:w="120" w:type="dxa"/>
            </w:tcMar>
            <w:vAlign w:val="center"/>
          </w:tcPr>
          <w:p>
            <w:pPr>
              <w:shd w:fill="F7F9FA"/>
              <w:spacing w:after="0" w:line="259" w:lineRule="auto"/>
            </w:pPr>
            <w:r>
              <w:rPr>
                <w:sz w:val="18"/>
              </w:rPr>
              <w:t>8</w:t>
            </w:r>
          </w:p>
        </w:tc>
        <w:tc>
          <w:tcPr>
            <w:tcW w:type="dxa" w:w="5328"/>
            <w:tcMar>
              <w:top w:w="90" w:type="dxa"/>
              <w:start w:w="120" w:type="dxa"/>
              <w:bottom w:w="90" w:type="dxa"/>
              <w:end w:w="120" w:type="dxa"/>
            </w:tcMar>
            <w:vAlign w:val="center"/>
          </w:tcPr>
          <w:p>
            <w:pPr>
              <w:shd w:fill="F7F9FA"/>
              <w:spacing w:after="0" w:line="259" w:lineRule="auto"/>
            </w:pPr>
            <w:r>
              <w:rPr>
                <w:sz w:val="18"/>
              </w:rPr>
              <w:t>Kernen er nødvendig, men scope, konfliktregler eller teknologineutralitet mangler.</w:t>
            </w:r>
          </w:p>
        </w:tc>
      </w:tr>
      <w:tr>
        <w:tc>
          <w:tcPr>
            <w:tcW w:type="dxa" w:w="2880"/>
            <w:tcMar>
              <w:top w:w="90" w:type="dxa"/>
              <w:start w:w="120" w:type="dxa"/>
              <w:bottom w:w="90" w:type="dxa"/>
              <w:end w:w="120" w:type="dxa"/>
            </w:tcMar>
            <w:vAlign w:val="center"/>
          </w:tcPr>
          <w:p>
            <w:pPr>
              <w:spacing w:after="0" w:line="259" w:lineRule="auto"/>
            </w:pPr>
            <w:r>
              <w:rPr>
                <w:sz w:val="18"/>
              </w:rPr>
              <w:t>Flyt til Position Paper</w:t>
            </w:r>
          </w:p>
        </w:tc>
        <w:tc>
          <w:tcPr>
            <w:tcW w:type="dxa" w:w="1152"/>
            <w:tcMar>
              <w:top w:w="90" w:type="dxa"/>
              <w:start w:w="120" w:type="dxa"/>
              <w:bottom w:w="90" w:type="dxa"/>
              <w:end w:w="120" w:type="dxa"/>
            </w:tcMar>
            <w:vAlign w:val="center"/>
          </w:tcPr>
          <w:p>
            <w:pPr>
              <w:spacing w:after="0" w:line="259" w:lineRule="auto"/>
            </w:pPr>
            <w:r>
              <w:rPr>
                <w:sz w:val="18"/>
              </w:rPr>
              <w:t>4</w:t>
            </w:r>
          </w:p>
        </w:tc>
        <w:tc>
          <w:tcPr>
            <w:tcW w:type="dxa" w:w="5328"/>
            <w:tcMar>
              <w:top w:w="90" w:type="dxa"/>
              <w:start w:w="120" w:type="dxa"/>
              <w:bottom w:w="90" w:type="dxa"/>
              <w:end w:w="120" w:type="dxa"/>
            </w:tcMar>
            <w:vAlign w:val="center"/>
          </w:tcPr>
          <w:p>
            <w:pPr>
              <w:spacing w:after="0" w:line="259" w:lineRule="auto"/>
            </w:pPr>
            <w:r>
              <w:rPr>
                <w:sz w:val="18"/>
              </w:rPr>
              <w:t>Vigtigt stof, men afledt, implementeringsnært eller utilstrækkeligt fundamentalt.</w:t>
            </w:r>
          </w:p>
        </w:tc>
      </w:tr>
      <w:tr>
        <w:tc>
          <w:tcPr>
            <w:tcW w:type="dxa" w:w="2880"/>
            <w:tcMar>
              <w:top w:w="90" w:type="dxa"/>
              <w:start w:w="120" w:type="dxa"/>
              <w:bottom w:w="90" w:type="dxa"/>
              <w:end w:w="120" w:type="dxa"/>
            </w:tcMar>
            <w:vAlign w:val="center"/>
          </w:tcPr>
          <w:p>
            <w:pPr>
              <w:shd w:fill="F7F9FA"/>
              <w:spacing w:after="0" w:line="259" w:lineRule="auto"/>
            </w:pPr>
            <w:r>
              <w:rPr>
                <w:sz w:val="18"/>
              </w:rPr>
              <w:t>Fjern</w:t>
            </w:r>
          </w:p>
        </w:tc>
        <w:tc>
          <w:tcPr>
            <w:tcW w:type="dxa" w:w="1152"/>
            <w:tcMar>
              <w:top w:w="90" w:type="dxa"/>
              <w:start w:w="120" w:type="dxa"/>
              <w:bottom w:w="90" w:type="dxa"/>
              <w:end w:w="120" w:type="dxa"/>
            </w:tcMar>
            <w:vAlign w:val="center"/>
          </w:tcPr>
          <w:p>
            <w:pPr>
              <w:shd w:fill="F7F9FA"/>
              <w:spacing w:after="0" w:line="259" w:lineRule="auto"/>
            </w:pPr>
            <w:r>
              <w:rPr>
                <w:sz w:val="18"/>
              </w:rPr>
              <w:t>0</w:t>
            </w:r>
          </w:p>
        </w:tc>
        <w:tc>
          <w:tcPr>
            <w:tcW w:type="dxa" w:w="5328"/>
            <w:tcMar>
              <w:top w:w="90" w:type="dxa"/>
              <w:start w:w="120" w:type="dxa"/>
              <w:bottom w:w="90" w:type="dxa"/>
              <w:end w:w="120" w:type="dxa"/>
            </w:tcMar>
            <w:vAlign w:val="center"/>
          </w:tcPr>
          <w:p>
            <w:pPr>
              <w:shd w:fill="F7F9FA"/>
              <w:spacing w:after="0" w:line="259" w:lineRule="auto"/>
            </w:pPr>
            <w:r>
              <w:rPr>
                <w:sz w:val="18"/>
              </w:rPr>
              <w:t>Ingen central erkendelse er værdiløs; nogle mister blot forfatningsstatus.</w:t>
            </w:r>
          </w:p>
        </w:tc>
      </w:tr>
    </w:tbl>
    <w:p>
      <w:pPr>
        <w:spacing w:after="0"/>
      </w:pPr>
    </w:p>
    <w:p>
      <w:pPr>
        <w:pStyle w:val="Heading2"/>
      </w:pPr>
      <w:r>
        <w:t>Anbefalet forfatningskerne</w:t>
      </w:r>
    </w:p>
    <w:p>
      <w:pPr>
        <w:pStyle w:val="ListNumber"/>
        <w:spacing w:after="80" w:line="300" w:lineRule="auto"/>
      </w:pPr>
      <w:r>
        <w:t>Menneskelig værdighed og patientens bedste.</w:t>
      </w:r>
    </w:p>
    <w:p>
      <w:pPr>
        <w:pStyle w:val="ListNumber"/>
        <w:spacing w:after="80" w:line="300" w:lineRule="auto"/>
      </w:pPr>
      <w:r>
        <w:t>Epistemisk integritet.</w:t>
      </w:r>
    </w:p>
    <w:p>
      <w:pPr>
        <w:pStyle w:val="ListNumber"/>
        <w:spacing w:after="80" w:line="300" w:lineRule="auto"/>
      </w:pPr>
      <w:r>
        <w:t>Proportionalitet og beskyttelse af opmærksomhed.</w:t>
      </w:r>
    </w:p>
    <w:p>
      <w:pPr>
        <w:pStyle w:val="ListNumber"/>
        <w:spacing w:after="80" w:line="300" w:lineRule="auto"/>
      </w:pPr>
      <w:r>
        <w:t>Legitim autonomi og beslutningsmyndighed.</w:t>
      </w:r>
    </w:p>
    <w:p>
      <w:pPr>
        <w:pStyle w:val="ListNumber"/>
        <w:spacing w:after="80" w:line="300" w:lineRule="auto"/>
      </w:pPr>
      <w:r>
        <w:t>Bestridelighed og reversibilitet.</w:t>
      </w:r>
    </w:p>
    <w:p>
      <w:pPr>
        <w:pStyle w:val="ListNumber"/>
        <w:spacing w:after="80" w:line="300" w:lineRule="auto"/>
      </w:pPr>
      <w:r>
        <w:t>Kompetencebevarelse og læring.</w:t>
      </w:r>
    </w:p>
    <w:p>
      <w:pPr>
        <w:pStyle w:val="ListNumber"/>
        <w:spacing w:after="80" w:line="300" w:lineRule="auto"/>
      </w:pPr>
      <w:r>
        <w:t>Organisatorisk ansvar og retfærdighed.</w:t>
      </w:r>
    </w:p>
    <w:p>
      <w:pPr>
        <w:pStyle w:val="ListNumber"/>
        <w:spacing w:after="80" w:line="300" w:lineRule="auto"/>
      </w:pPr>
      <w:r>
        <w:t>Livscyklusansvar, fejllæring og korrigerbarhed.</w:t>
      </w:r>
    </w:p>
    <w:p>
      <w:pPr>
        <w:spacing w:before="100" w:after="180"/>
        <w:ind w:left="173" w:right="173"/>
        <w:shd w:fill="E6F4EA"/>
      </w:pPr>
      <w:r>
        <w:rPr>
          <w:b/>
          <w:color w:val="216E39"/>
        </w:rPr>
        <w:t xml:space="preserve">Hovedkonklusion: </w:t>
      </w:r>
      <w:r>
        <w:t>Constitutionen bør være kortere end filosofien. Dens funktion er ikke at rumme al sandhed om Cortex, men at beskytte projektet mod de farligste former for formålsdrift.</w:t>
      </w:r>
    </w:p>
    <w:p>
      <w:r>
        <w:br w:type="page"/>
      </w:r>
    </w:p>
    <w:p>
      <w:pPr>
        <w:spacing w:after="60"/>
      </w:pPr>
      <w:r>
        <w:rPr>
          <w:b/>
          <w:color w:val="667085"/>
          <w:sz w:val="18"/>
        </w:rPr>
        <w:t>TÆRSKLER OG BEVISBYRDE</w:t>
      </w:r>
    </w:p>
    <w:p>
      <w:pPr>
        <w:pStyle w:val="Heading1"/>
      </w:pPr>
      <w:r>
        <w:t>Ratificeringsmetode</w:t>
      </w:r>
    </w:p>
    <w:p>
      <w:r>
        <w:rPr>
          <w:rFonts w:ascii="Calibri" w:hAnsi="Calibri"/>
          <w:i w:val="0"/>
          <w:sz w:val="22"/>
        </w:rPr>
        <w:t>Et princip er kun ratificerbart, hvis det består samtlige fem tærskler. Bevisbyrden ligger hos princippet, ikke hos kritikeren.</w:t>
      </w:r>
    </w:p>
    <w:tbl>
      <w:tblPr>
        <w:tblW w:type="dxa" w:w="9360"/>
        <w:jc w:val="left"/>
        <w:tblLayout w:type="fixed"/>
        <w:tblLook w:firstColumn="1" w:firstRow="1" w:lastColumn="0" w:lastRow="0" w:noHBand="0" w:noVBand="1" w:val="04A0"/>
        <w:tblInd w:w="120" w:type="dxa"/>
      </w:tblPr>
      <w:tblGrid>
        <w:gridCol w:w="1800"/>
        <w:gridCol w:w="3744"/>
        <w:gridCol w:w="3816"/>
      </w:tblGrid>
      <w:tr>
        <w:trPr>
          <w:tblHeader/>
        </w:trPr>
        <w:tc>
          <w:tcPr>
            <w:tcW w:type="dxa" w:w="1800"/>
            <w:tcMar>
              <w:top w:w="90" w:type="dxa"/>
              <w:start w:w="120" w:type="dxa"/>
              <w:bottom w:w="90" w:type="dxa"/>
              <w:end w:w="120" w:type="dxa"/>
            </w:tcMar>
            <w:vAlign w:val="center"/>
          </w:tcPr>
          <w:p>
            <w:pPr>
              <w:shd w:fill="DCE6EB"/>
            </w:pPr>
            <w:r>
              <w:rPr>
                <w:b/>
                <w:color w:val="15324A"/>
                <w:sz w:val="17"/>
              </w:rPr>
              <w:t>Tærskel</w:t>
            </w:r>
          </w:p>
        </w:tc>
        <w:tc>
          <w:tcPr>
            <w:tcW w:type="dxa" w:w="3744"/>
            <w:tcMar>
              <w:top w:w="90" w:type="dxa"/>
              <w:start w:w="120" w:type="dxa"/>
              <w:bottom w:w="90" w:type="dxa"/>
              <w:end w:w="120" w:type="dxa"/>
            </w:tcMar>
            <w:vAlign w:val="center"/>
          </w:tcPr>
          <w:p>
            <w:pPr>
              <w:shd w:fill="DCE6EB"/>
            </w:pPr>
            <w:r>
              <w:rPr>
                <w:b/>
                <w:color w:val="15324A"/>
                <w:sz w:val="17"/>
              </w:rPr>
              <w:t>Spørgsmål</w:t>
            </w:r>
          </w:p>
        </w:tc>
        <w:tc>
          <w:tcPr>
            <w:tcW w:type="dxa" w:w="3816"/>
            <w:tcMar>
              <w:top w:w="90" w:type="dxa"/>
              <w:start w:w="120" w:type="dxa"/>
              <w:bottom w:w="90" w:type="dxa"/>
              <w:end w:w="120" w:type="dxa"/>
            </w:tcMar>
            <w:vAlign w:val="center"/>
          </w:tcPr>
          <w:p>
            <w:pPr>
              <w:shd w:fill="DCE6EB"/>
            </w:pPr>
            <w:r>
              <w:rPr>
                <w:b/>
                <w:color w:val="15324A"/>
                <w:sz w:val="17"/>
              </w:rPr>
              <w:t>Diskvalifikation</w:t>
            </w:r>
          </w:p>
        </w:tc>
      </w:tr>
      <w:tr>
        <w:tc>
          <w:tcPr>
            <w:tcW w:type="dxa" w:w="1800"/>
            <w:tcMar>
              <w:top w:w="90" w:type="dxa"/>
              <w:start w:w="120" w:type="dxa"/>
              <w:bottom w:w="90" w:type="dxa"/>
              <w:end w:w="120" w:type="dxa"/>
            </w:tcMar>
            <w:vAlign w:val="center"/>
          </w:tcPr>
          <w:p>
            <w:pPr>
              <w:spacing w:after="0" w:line="259" w:lineRule="auto"/>
            </w:pPr>
            <w:r>
              <w:rPr>
                <w:sz w:val="17"/>
              </w:rPr>
              <w:t>Identitet</w:t>
            </w:r>
          </w:p>
        </w:tc>
        <w:tc>
          <w:tcPr>
            <w:tcW w:type="dxa" w:w="3744"/>
            <w:tcMar>
              <w:top w:w="90" w:type="dxa"/>
              <w:start w:w="120" w:type="dxa"/>
              <w:bottom w:w="90" w:type="dxa"/>
              <w:end w:w="120" w:type="dxa"/>
            </w:tcMar>
            <w:vAlign w:val="center"/>
          </w:tcPr>
          <w:p>
            <w:pPr>
              <w:spacing w:after="0" w:line="259" w:lineRule="auto"/>
            </w:pPr>
            <w:r>
              <w:rPr>
                <w:sz w:val="17"/>
              </w:rPr>
              <w:t>Kan Cortex stadig være Cortex uden princippet?</w:t>
            </w:r>
          </w:p>
        </w:tc>
        <w:tc>
          <w:tcPr>
            <w:tcW w:type="dxa" w:w="3816"/>
            <w:tcMar>
              <w:top w:w="90" w:type="dxa"/>
              <w:start w:w="120" w:type="dxa"/>
              <w:bottom w:w="90" w:type="dxa"/>
              <w:end w:w="120" w:type="dxa"/>
            </w:tcMar>
            <w:vAlign w:val="center"/>
          </w:tcPr>
          <w:p>
            <w:pPr>
              <w:spacing w:after="0" w:line="259" w:lineRule="auto"/>
            </w:pPr>
            <w:r>
              <w:rPr>
                <w:sz w:val="17"/>
              </w:rPr>
              <w:t>Ja - uden væsentlig identitetsændring</w:t>
            </w:r>
          </w:p>
        </w:tc>
      </w:tr>
      <w:tr>
        <w:tc>
          <w:tcPr>
            <w:tcW w:type="dxa" w:w="1800"/>
            <w:tcMar>
              <w:top w:w="90" w:type="dxa"/>
              <w:start w:w="120" w:type="dxa"/>
              <w:bottom w:w="90" w:type="dxa"/>
              <w:end w:w="120" w:type="dxa"/>
            </w:tcMar>
            <w:vAlign w:val="center"/>
          </w:tcPr>
          <w:p>
            <w:pPr>
              <w:shd w:fill="F7F9FA"/>
              <w:spacing w:after="0" w:line="259" w:lineRule="auto"/>
            </w:pPr>
            <w:r>
              <w:rPr>
                <w:sz w:val="17"/>
              </w:rPr>
              <w:t>Tidløshed</w:t>
            </w:r>
          </w:p>
        </w:tc>
        <w:tc>
          <w:tcPr>
            <w:tcW w:type="dxa" w:w="3744"/>
            <w:tcMar>
              <w:top w:w="90" w:type="dxa"/>
              <w:start w:w="120" w:type="dxa"/>
              <w:bottom w:w="90" w:type="dxa"/>
              <w:end w:w="120" w:type="dxa"/>
            </w:tcMar>
            <w:vAlign w:val="center"/>
          </w:tcPr>
          <w:p>
            <w:pPr>
              <w:shd w:fill="F7F9FA"/>
              <w:spacing w:after="0" w:line="259" w:lineRule="auto"/>
            </w:pPr>
            <w:r>
              <w:rPr>
                <w:sz w:val="17"/>
              </w:rPr>
              <w:t>Består princippet på tværs af teknologier og arbejdsgange?</w:t>
            </w:r>
          </w:p>
        </w:tc>
        <w:tc>
          <w:tcPr>
            <w:tcW w:type="dxa" w:w="3816"/>
            <w:tcMar>
              <w:top w:w="90" w:type="dxa"/>
              <w:start w:w="120" w:type="dxa"/>
              <w:bottom w:w="90" w:type="dxa"/>
              <w:end w:w="120" w:type="dxa"/>
            </w:tcMar>
            <w:vAlign w:val="center"/>
          </w:tcPr>
          <w:p>
            <w:pPr>
              <w:shd w:fill="F7F9FA"/>
              <w:spacing w:after="0" w:line="259" w:lineRule="auto"/>
            </w:pPr>
            <w:r>
              <w:rPr>
                <w:sz w:val="17"/>
              </w:rPr>
              <w:t>Afhænger af chatbot, journalform eller nutidig AI-kapabilitet</w:t>
            </w:r>
          </w:p>
        </w:tc>
      </w:tr>
      <w:tr>
        <w:tc>
          <w:tcPr>
            <w:tcW w:type="dxa" w:w="1800"/>
            <w:tcMar>
              <w:top w:w="90" w:type="dxa"/>
              <w:start w:w="120" w:type="dxa"/>
              <w:bottom w:w="90" w:type="dxa"/>
              <w:end w:w="120" w:type="dxa"/>
            </w:tcMar>
            <w:vAlign w:val="center"/>
          </w:tcPr>
          <w:p>
            <w:pPr>
              <w:spacing w:after="0" w:line="259" w:lineRule="auto"/>
            </w:pPr>
            <w:r>
              <w:rPr>
                <w:sz w:val="17"/>
              </w:rPr>
              <w:t>Uafledbarhed</w:t>
            </w:r>
          </w:p>
        </w:tc>
        <w:tc>
          <w:tcPr>
            <w:tcW w:type="dxa" w:w="3744"/>
            <w:tcMar>
              <w:top w:w="90" w:type="dxa"/>
              <w:start w:w="120" w:type="dxa"/>
              <w:bottom w:w="90" w:type="dxa"/>
              <w:end w:w="120" w:type="dxa"/>
            </w:tcMar>
            <w:vAlign w:val="center"/>
          </w:tcPr>
          <w:p>
            <w:pPr>
              <w:spacing w:after="0" w:line="259" w:lineRule="auto"/>
            </w:pPr>
            <w:r>
              <w:rPr>
                <w:sz w:val="17"/>
              </w:rPr>
              <w:t>Tilfører princippet en selvstændig norm?</w:t>
            </w:r>
          </w:p>
        </w:tc>
        <w:tc>
          <w:tcPr>
            <w:tcW w:type="dxa" w:w="3816"/>
            <w:tcMar>
              <w:top w:w="90" w:type="dxa"/>
              <w:start w:w="120" w:type="dxa"/>
              <w:bottom w:w="90" w:type="dxa"/>
              <w:end w:w="120" w:type="dxa"/>
            </w:tcMar>
            <w:vAlign w:val="center"/>
          </w:tcPr>
          <w:p>
            <w:pPr>
              <w:spacing w:after="0" w:line="259" w:lineRule="auto"/>
            </w:pPr>
            <w:r>
              <w:rPr>
                <w:sz w:val="17"/>
              </w:rPr>
              <w:t>Følger allerede af en dybere artikel</w:t>
            </w:r>
          </w:p>
        </w:tc>
      </w:tr>
      <w:tr>
        <w:tc>
          <w:tcPr>
            <w:tcW w:type="dxa" w:w="1800"/>
            <w:tcMar>
              <w:top w:w="90" w:type="dxa"/>
              <w:start w:w="120" w:type="dxa"/>
              <w:bottom w:w="90" w:type="dxa"/>
              <w:end w:w="120" w:type="dxa"/>
            </w:tcMar>
            <w:vAlign w:val="center"/>
          </w:tcPr>
          <w:p>
            <w:pPr>
              <w:shd w:fill="F7F9FA"/>
              <w:spacing w:after="0" w:line="259" w:lineRule="auto"/>
            </w:pPr>
            <w:r>
              <w:rPr>
                <w:sz w:val="17"/>
              </w:rPr>
              <w:t>Styringskraft</w:t>
            </w:r>
          </w:p>
        </w:tc>
        <w:tc>
          <w:tcPr>
            <w:tcW w:type="dxa" w:w="3744"/>
            <w:tcMar>
              <w:top w:w="90" w:type="dxa"/>
              <w:start w:w="120" w:type="dxa"/>
              <w:bottom w:w="90" w:type="dxa"/>
              <w:end w:w="120" w:type="dxa"/>
            </w:tcMar>
            <w:vAlign w:val="center"/>
          </w:tcPr>
          <w:p>
            <w:pPr>
              <w:shd w:fill="F7F9FA"/>
              <w:spacing w:after="0" w:line="259" w:lineRule="auto"/>
            </w:pPr>
            <w:r>
              <w:rPr>
                <w:sz w:val="17"/>
              </w:rPr>
              <w:t>Kan det afgøre eller strukturere en reel konflikt?</w:t>
            </w:r>
          </w:p>
        </w:tc>
        <w:tc>
          <w:tcPr>
            <w:tcW w:type="dxa" w:w="3816"/>
            <w:tcMar>
              <w:top w:w="90" w:type="dxa"/>
              <w:start w:w="120" w:type="dxa"/>
              <w:bottom w:w="90" w:type="dxa"/>
              <w:end w:w="120" w:type="dxa"/>
            </w:tcMar>
            <w:vAlign w:val="center"/>
          </w:tcPr>
          <w:p>
            <w:pPr>
              <w:shd w:fill="F7F9FA"/>
              <w:spacing w:after="0" w:line="259" w:lineRule="auto"/>
            </w:pPr>
            <w:r>
              <w:rPr>
                <w:sz w:val="17"/>
              </w:rPr>
              <w:t>Kun aspiration uden beslutningsregel</w:t>
            </w:r>
          </w:p>
        </w:tc>
      </w:tr>
      <w:tr>
        <w:tc>
          <w:tcPr>
            <w:tcW w:type="dxa" w:w="1800"/>
            <w:tcMar>
              <w:top w:w="90" w:type="dxa"/>
              <w:start w:w="120" w:type="dxa"/>
              <w:bottom w:w="90" w:type="dxa"/>
              <w:end w:w="120" w:type="dxa"/>
            </w:tcMar>
            <w:vAlign w:val="center"/>
          </w:tcPr>
          <w:p>
            <w:pPr>
              <w:spacing w:after="0" w:line="259" w:lineRule="auto"/>
            </w:pPr>
            <w:r>
              <w:rPr>
                <w:sz w:val="17"/>
              </w:rPr>
              <w:t>Efterprøvelighed</w:t>
            </w:r>
          </w:p>
        </w:tc>
        <w:tc>
          <w:tcPr>
            <w:tcW w:type="dxa" w:w="3744"/>
            <w:tcMar>
              <w:top w:w="90" w:type="dxa"/>
              <w:start w:w="120" w:type="dxa"/>
              <w:bottom w:w="90" w:type="dxa"/>
              <w:end w:w="120" w:type="dxa"/>
            </w:tcMar>
            <w:vAlign w:val="center"/>
          </w:tcPr>
          <w:p>
            <w:pPr>
              <w:spacing w:after="0" w:line="259" w:lineRule="auto"/>
            </w:pPr>
            <w:r>
              <w:rPr>
                <w:sz w:val="17"/>
              </w:rPr>
              <w:t>Kan efterlevelse dokumenteres om fem år?</w:t>
            </w:r>
          </w:p>
        </w:tc>
        <w:tc>
          <w:tcPr>
            <w:tcW w:type="dxa" w:w="3816"/>
            <w:tcMar>
              <w:top w:w="90" w:type="dxa"/>
              <w:start w:w="120" w:type="dxa"/>
              <w:bottom w:w="90" w:type="dxa"/>
              <w:end w:w="120" w:type="dxa"/>
            </w:tcMar>
            <w:vAlign w:val="center"/>
          </w:tcPr>
          <w:p>
            <w:pPr>
              <w:spacing w:after="0" w:line="259" w:lineRule="auto"/>
            </w:pPr>
            <w:r>
              <w:rPr>
                <w:sz w:val="17"/>
              </w:rPr>
              <w:t>Ingen observerbar konsekvens eller auditmulighed</w:t>
            </w:r>
          </w:p>
        </w:tc>
      </w:tr>
    </w:tbl>
    <w:p>
      <w:pPr>
        <w:spacing w:after="0"/>
      </w:pPr>
    </w:p>
    <w:p>
      <w:pPr>
        <w:pStyle w:val="Heading2"/>
      </w:pPr>
      <w:r>
        <w:t>Konflikthierarki</w:t>
      </w:r>
    </w:p>
    <w:p>
      <w:r>
        <w:rPr>
          <w:rFonts w:ascii="Calibri" w:hAnsi="Calibri"/>
          <w:i w:val="0"/>
          <w:sz w:val="22"/>
        </w:rPr>
        <w:t>Ingen artikel er absolut. Ved konflikt skal Cortex først beskytte mod alvorlig og uoprettelig skade; dernæst legitim autonomi og værdighed; dernæst epistemisk integritet og ansvar; derefter kompetence, opmærksomhed og retfærdighed; og først til sidst lokal effektivitet og bekvemmelighed. Hierarkiet er en presumptionsregel, ikke en mekanisk facitliste. Afvigelser kræver dokumenteret proportionalitetsvurdering.</w:t>
      </w:r>
    </w:p>
    <w:p>
      <w:r>
        <w:br w:type="page"/>
      </w:r>
    </w:p>
    <w:p>
      <w:pPr>
        <w:spacing w:after="60"/>
      </w:pPr>
      <w:r>
        <w:rPr>
          <w:b/>
          <w:color w:val="667085"/>
          <w:sz w:val="18"/>
        </w:rPr>
        <w:t>PRINCIPIEL PRØVELSE</w:t>
      </w:r>
    </w:p>
    <w:p>
      <w:pPr>
        <w:pStyle w:val="Heading1"/>
      </w:pPr>
      <w:r>
        <w:t>Kandidat 1: Menneskelig værdighed og patientens bedste</w:t>
      </w:r>
    </w:p>
    <w:p>
      <w:pPr>
        <w:spacing w:before="100" w:after="180"/>
        <w:ind w:left="173" w:right="173"/>
        <w:shd w:fill="EEF3F6"/>
      </w:pPr>
      <w:r>
        <w:rPr>
          <w:b/>
          <w:color w:val="15324A"/>
        </w:rPr>
        <w:t xml:space="preserve">Erkendelse: </w:t>
      </w:r>
      <w:r>
        <w:t>Cortex er kun legitimt, hvis systemet tjener patientens mulighed for sikker, forståelig og individuelt relevant hjælp uden at reducere personen til data eller workflow.</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Manuskriptet blander et filosofisk menneskesyn med produktmål som nærvær og effektivitet; den forfatningsmæssige kerne er værdighed og patientens legitime interesser.</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 år: ja. 10 år: ja. 20 år: ja. Teknologisk kapabilitet ændrer ikke patientens moralske status.</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dette kan Cortex blive et effektivt kliniker- eller organisationsværktøj, men ikke forblive det patientorienterede projekt, teksten hævder. Princippet er identitetsbærende.</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Kan ikke afledes fuldt ud af sikkerhed, autonomi eller klinisk kvalitet. Værdighed beskytter også mod instrumentalisering, manipulation og uværdig behandling, selv uden målbar skade.</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Kan kollidere med effektivitet, populationens nytte og professionel autonomi. Regel: Patientens værdighed kan ikke tilsidesættes af bekvemmelighed; tvang eller begrænsning kræver lovligt formål, nødvendighed og proportionalitet.</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patientreduktion, skjult manipulation, diskriminerende behandling og optimering for systemet frem for personen.</w:t>
            </w:r>
          </w:p>
        </w:tc>
      </w:tr>
    </w:tbl>
    <w:p>
      <w:pPr>
        <w:spacing w:after="0"/>
      </w:pPr>
    </w:p>
    <w:p>
      <w:pPr>
        <w:pStyle w:val="Heading2"/>
      </w:pPr>
      <w:r>
        <w:t>Nødvendig konsekvenskæde</w:t>
      </w:r>
    </w:p>
    <w:p>
      <w:r>
        <w:rPr>
          <w:rFonts w:ascii="Calibri" w:hAnsi="Calibri"/>
          <w:i w:val="0"/>
          <w:sz w:val="22"/>
        </w:rPr>
        <w:t>Designprincipper: Gør patientmål synlige; brug forståeligt sprog; undgå dark patterns; skab plads til individuelle værdier.</w:t>
      </w:r>
    </w:p>
    <w:p>
      <w:r>
        <w:rPr>
          <w:rFonts w:ascii="Calibri" w:hAnsi="Calibri"/>
          <w:i w:val="0"/>
          <w:sz w:val="22"/>
        </w:rPr>
        <w:t>Arkitekturprincipper: Patientpræferencer og samtykkestatus som førsteklasses data; adskil kliniske mål fra driftsmål; auditér optimeringsmål.</w:t>
      </w:r>
    </w:p>
    <w:p>
      <w:r>
        <w:rPr>
          <w:rFonts w:ascii="Calibri" w:hAnsi="Calibri"/>
          <w:i w:val="0"/>
          <w:sz w:val="22"/>
        </w:rPr>
        <w:t>Produktkrav: Patientrelevante begrundelser; mulighed for at registrere mål og fravalg; dokumentation af påvirkning på patientgrupper.</w:t>
      </w:r>
    </w:p>
    <w:p>
      <w:pPr>
        <w:pStyle w:val="Heading2"/>
      </w:pPr>
      <w:r>
        <w:t>Femårstest</w:t>
      </w:r>
    </w:p>
    <w:p>
      <w:r>
        <w:rPr>
          <w:rFonts w:ascii="Calibri" w:hAnsi="Calibri"/>
          <w:i w:val="0"/>
          <w:sz w:val="22"/>
        </w:rPr>
        <w:t>Patientrapporteret forståelse og respekt; audit af diskriminerende effekter; sporbarhed fra funktion til klinisk patientformål; dokumenterede klage- og korrektionsveje.</w:t>
      </w:r>
    </w:p>
    <w:p>
      <w:pPr>
        <w:spacing w:before="100" w:after="180"/>
        <w:ind w:left="173" w:right="173"/>
        <w:shd w:fill="E6F4EA"/>
      </w:pPr>
      <w:r>
        <w:rPr>
          <w:b/>
          <w:color w:val="216E39"/>
        </w:rPr>
        <w:t xml:space="preserve">✏️ Ratificér efter omskrivning. </w:t>
      </w:r>
      <w:r>
        <w:t>Princippet mangler eksplicit i den nuværende kerne, men er nødvendigt og kan ikke reduceres til patientsikkerhed.</w:t>
      </w:r>
    </w:p>
    <w:p>
      <w:r>
        <w:br w:type="page"/>
      </w:r>
    </w:p>
    <w:p>
      <w:pPr>
        <w:spacing w:after="60"/>
      </w:pPr>
      <w:r>
        <w:rPr>
          <w:b/>
          <w:color w:val="667085"/>
          <w:sz w:val="18"/>
        </w:rPr>
        <w:t>PRINCIPIEL PRØVELSE</w:t>
      </w:r>
    </w:p>
    <w:p>
      <w:pPr>
        <w:pStyle w:val="Heading1"/>
      </w:pPr>
      <w:r>
        <w:t>Kandidat 2: Epistemisk integritet</w:t>
      </w:r>
    </w:p>
    <w:p>
      <w:pPr>
        <w:spacing w:before="100" w:after="180"/>
        <w:ind w:left="173" w:right="173"/>
        <w:shd w:fill="EEF3F6"/>
      </w:pPr>
      <w:r>
        <w:rPr>
          <w:b/>
          <w:color w:val="15324A"/>
        </w:rPr>
        <w:t xml:space="preserve">Erkendelse: </w:t>
      </w:r>
      <w:r>
        <w:t>Cortex må kun fremsætte kliniske påstande på en måde, der gør grundlag, styrke, begrænsninger, uenighed og aktualitet rekonstruerbare.</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med afledte arkitekturprincipper. Manuskriptet blander evidensbasering, transparens, forklaring og produktvisning; Constitutionen skal beskytte sandfærdighed og sporbarhed.</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Kilder og modeller ændres; kravet om ærlig videnstilskrivelse består.</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epistemisk integritet kan Cortex være nyttigt, men ikke troværdigt eller ansvarligt klinisk beslutningsstøttende. Det ophører med at være Cortex i normativ forstand.</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Forklaring, provenance, versionsstyring og kalibreret usikkerhed følger heraf og bør ikke være selvstændige artikler.</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Kan kollidere med enkelhed, hurtighed og kognitiv ro. Regel: Kompleksitet må skjules progressivt, men relevante begrænsninger må aldrig skjules ved beslutningspunktet.</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hallucination, falsk sikkerhed, cherry-picking, forældet evidens, efterrationalisering og ukontrollerbar guideline-konflikt.</w:t>
            </w:r>
          </w:p>
        </w:tc>
      </w:tr>
    </w:tbl>
    <w:p>
      <w:pPr>
        <w:spacing w:after="0"/>
      </w:pPr>
    </w:p>
    <w:p>
      <w:pPr>
        <w:pStyle w:val="Heading2"/>
      </w:pPr>
      <w:r>
        <w:t>Nødvendig konsekvenskæde</w:t>
      </w:r>
    </w:p>
    <w:p>
      <w:r>
        <w:rPr>
          <w:rFonts w:ascii="Calibri" w:hAnsi="Calibri"/>
          <w:i w:val="0"/>
          <w:sz w:val="22"/>
        </w:rPr>
        <w:t>Designprincipper: Progressiv transparens; tydelig skelnen mellem fakta, inferens, anbefaling og usikkerhed; vis uenighed når den er beslutningsrelevant.</w:t>
      </w:r>
    </w:p>
    <w:p>
      <w:r>
        <w:rPr>
          <w:rFonts w:ascii="Calibri" w:hAnsi="Calibri"/>
          <w:i w:val="0"/>
          <w:sz w:val="22"/>
        </w:rPr>
        <w:t>Arkitekturprincipper: Evidence service; provenance bundle; versions- og udløbsmodel; uncertainty taxonomy; reproducerbare beslutningsspor.</w:t>
      </w:r>
    </w:p>
    <w:p>
      <w:r>
        <w:rPr>
          <w:rFonts w:ascii="Calibri" w:hAnsi="Calibri"/>
          <w:i w:val="0"/>
          <w:sz w:val="22"/>
        </w:rPr>
        <w:t>Produktkrav: Alle højrisikooutputs viser kilde, dato, scope, væsentlige datamangler og grundlag for anbefalingen.</w:t>
      </w:r>
    </w:p>
    <w:p>
      <w:pPr>
        <w:pStyle w:val="Heading2"/>
      </w:pPr>
      <w:r>
        <w:t>Femårstest</w:t>
      </w:r>
    </w:p>
    <w:p>
      <w:r>
        <w:rPr>
          <w:rFonts w:ascii="Calibri" w:hAnsi="Calibri"/>
          <w:i w:val="0"/>
          <w:sz w:val="22"/>
        </w:rPr>
        <w:t>100 % rekonstruerbarhed for højrisikoanbefalinger; andel udløbet evidens; kalibrering; fejl i kildebinding; tid til at verificere en påstand.</w:t>
      </w:r>
    </w:p>
    <w:p>
      <w:pPr>
        <w:spacing w:before="100" w:after="180"/>
        <w:ind w:left="173" w:right="173"/>
        <w:shd w:fill="E6F4EA"/>
      </w:pPr>
      <w:r>
        <w:rPr>
          <w:b/>
          <w:color w:val="216E39"/>
        </w:rPr>
        <w:t xml:space="preserve">✏️ Ratificér efter omskrivning. </w:t>
      </w:r>
      <w:r>
        <w:t>Manuskriptets stærkeste epistemiske tema, men det skal samles i én overordnet artikel.</w:t>
      </w:r>
    </w:p>
    <w:p>
      <w:r>
        <w:br w:type="page"/>
      </w:r>
    </w:p>
    <w:p>
      <w:pPr>
        <w:spacing w:after="60"/>
      </w:pPr>
      <w:r>
        <w:rPr>
          <w:b/>
          <w:color w:val="667085"/>
          <w:sz w:val="18"/>
        </w:rPr>
        <w:t>PRINCIPIEL PRØVELSE</w:t>
      </w:r>
    </w:p>
    <w:p>
      <w:pPr>
        <w:pStyle w:val="Heading1"/>
      </w:pPr>
      <w:r>
        <w:t>Kandidat 3: Proportionalitet og opmærksomhed</w:t>
      </w:r>
    </w:p>
    <w:p>
      <w:pPr>
        <w:spacing w:before="100" w:after="180"/>
        <w:ind w:left="173" w:right="173"/>
        <w:shd w:fill="EEF3F6"/>
      </w:pPr>
      <w:r>
        <w:rPr>
          <w:b/>
          <w:color w:val="15324A"/>
        </w:rPr>
        <w:t xml:space="preserve">Erkendelse: </w:t>
      </w:r>
      <w:r>
        <w:t>Cortex må kun kræve opmærksomhed eller påføre friktion, når den forventede kliniske værdi står i rimeligt forhold til byrden og risikoen ved interventionen.</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‘Den bedste hjælp kommer på det rigtige tidspunkt’ er ellers et designprincip; proportionalitet løfter det til en styrende norm.</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Interfaces ændres, men opmærksomhed forbliver knap og interventioner har alternativomkostninger.</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princippet kan Cortex stadig levere korrekte svar, men vil kunne ødelægge konsultationens flow og skabe alarmtræthed. Projektets identitet som kognitiv støtte går tabt.</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Kan ikke fuldt afledes af patientens bedste, fordi princippet også beskytter klinikerens kognitive kapacitet som systemressource.</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patientsikkerhed og transparens. Regel: Jo større potentiel og uoprettelig skade, desto lavere tærskel for afbrydelse; lavrisikooplysninger skal være ikke-afbrydende.</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informationsstøj, alarmtræthed, fragmenteret opmærksomhed, irrelevant forklaring og sikkerhedsadvarsler, der drukner hinanden.</w:t>
            </w:r>
          </w:p>
        </w:tc>
      </w:tr>
    </w:tbl>
    <w:p>
      <w:pPr>
        <w:spacing w:after="0"/>
      </w:pPr>
    </w:p>
    <w:p>
      <w:pPr>
        <w:pStyle w:val="Heading2"/>
      </w:pPr>
      <w:r>
        <w:t>Nødvendig konsekvenskæde</w:t>
      </w:r>
    </w:p>
    <w:p>
      <w:r>
        <w:rPr>
          <w:rFonts w:ascii="Calibri" w:hAnsi="Calibri"/>
          <w:i w:val="0"/>
          <w:sz w:val="22"/>
        </w:rPr>
        <w:t>Designprincipper: Risikobaseret timing; progressive disclosure; suppression efter kontekst; ingen gentagen advarsel uden ny information.</w:t>
      </w:r>
    </w:p>
    <w:p>
      <w:r>
        <w:rPr>
          <w:rFonts w:ascii="Calibri" w:hAnsi="Calibri"/>
          <w:i w:val="0"/>
          <w:sz w:val="22"/>
        </w:rPr>
        <w:t>Arkitekturprincipper: Attention budget; interventionspolicy; prioritering og suppression; audit af både aktive interventioner og tavshed.</w:t>
      </w:r>
    </w:p>
    <w:p>
      <w:r>
        <w:rPr>
          <w:rFonts w:ascii="Calibri" w:hAnsi="Calibri"/>
          <w:i w:val="0"/>
          <w:sz w:val="22"/>
        </w:rPr>
        <w:t>Produktkrav: Mål for afbrydelser pr. konsultation, relevans, handlingsrate, afvisningsårsag og gentagelsesbyrde.</w:t>
      </w:r>
    </w:p>
    <w:p>
      <w:pPr>
        <w:pStyle w:val="Heading2"/>
      </w:pPr>
      <w:r>
        <w:t>Femårstest</w:t>
      </w:r>
    </w:p>
    <w:p>
      <w:r>
        <w:rPr>
          <w:rFonts w:ascii="Calibri" w:hAnsi="Calibri"/>
          <w:i w:val="0"/>
          <w:sz w:val="22"/>
        </w:rPr>
        <w:t>Alert burden; signalværdi; klinikerens afbrydelsesoplevelse; oversete højrisikotilfælde; ændring i konsultationens opmærksomhedsstruktur.</w:t>
      </w:r>
    </w:p>
    <w:p>
      <w:pPr>
        <w:spacing w:before="100" w:after="180"/>
        <w:ind w:left="173" w:right="173"/>
        <w:shd w:fill="E6F4EA"/>
      </w:pPr>
      <w:r>
        <w:rPr>
          <w:b/>
          <w:color w:val="216E39"/>
        </w:rPr>
        <w:t xml:space="preserve">✏️ Ratificér efter omskrivning. </w:t>
      </w:r>
      <w:r>
        <w:t>Identitetsbærende, men må formuleres som proportionalitet - ikke som romantisering af usynlig teknologi.</w:t>
      </w:r>
    </w:p>
    <w:p>
      <w:r>
        <w:br w:type="page"/>
      </w:r>
    </w:p>
    <w:p>
      <w:pPr>
        <w:spacing w:after="60"/>
      </w:pPr>
      <w:r>
        <w:rPr>
          <w:b/>
          <w:color w:val="667085"/>
          <w:sz w:val="18"/>
        </w:rPr>
        <w:t>PRINCIPIEL PRØVELSE</w:t>
      </w:r>
    </w:p>
    <w:p>
      <w:pPr>
        <w:pStyle w:val="Heading1"/>
      </w:pPr>
      <w:r>
        <w:t>Kandidat 4: Legitim autonomi og beslutningsmyndighed</w:t>
      </w:r>
    </w:p>
    <w:p>
      <w:pPr>
        <w:spacing w:before="100" w:after="180"/>
        <w:ind w:left="173" w:right="173"/>
        <w:shd w:fill="EEF3F6"/>
      </w:pPr>
      <w:r>
        <w:rPr>
          <w:b/>
          <w:color w:val="15324A"/>
        </w:rPr>
        <w:t xml:space="preserve">Erkendelse: </w:t>
      </w:r>
      <w:r>
        <w:t>Klinisk beslutningsmagt må kun udøves eller delegeres, når den ansvarlige aktør, kompetencegrænsen, målet og muligheden for menneskelig indgriben er eksplicitte.</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‘Lægen ejer beslutningen’ blander professionel rolle, juridisk ansvar og produktregel og er derfor utilstrækkeligt.</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efter teknologineutral omskrivning. Hvem der kan være aktør kan ændres; legitim myndighed består.</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princippet kan Cortex gradvist få de facto-magt gennem defaults, automatisering og informationskontrol uden formel ansvarstildeling. Det er uforeneligt med projektets identitet.</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Patientautonomi og professionel autonomi er anvendelser af en bredere agency-artikel, men kræver egne position papers.</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sikkerhed, standardisering og organisatorisk effektivitet. Regel: Autonomi kan begrænses ved alvorlig risiko, men kun med klart mandat, proportionalitet og auditérbar begrundelse.</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ansvarspulverisering, skjult automation, coercive defaults, de facto-afgørelser og meningsløst ‘human in the loop’.</w:t>
            </w:r>
          </w:p>
        </w:tc>
      </w:tr>
    </w:tbl>
    <w:p>
      <w:pPr>
        <w:spacing w:after="0"/>
      </w:pPr>
    </w:p>
    <w:p>
      <w:pPr>
        <w:pStyle w:val="Heading2"/>
      </w:pPr>
      <w:r>
        <w:t>Nødvendig konsekvenskæde</w:t>
      </w:r>
    </w:p>
    <w:p>
      <w:r>
        <w:rPr>
          <w:rFonts w:ascii="Calibri" w:hAnsi="Calibri"/>
          <w:i w:val="0"/>
          <w:sz w:val="22"/>
        </w:rPr>
        <w:t>Designprincipper: Synliggør aktør og konsekvens; giv reel mulighed for at ændre mål, data og beslutning; undgå manipulerende defaults.</w:t>
      </w:r>
    </w:p>
    <w:p>
      <w:r>
        <w:rPr>
          <w:rFonts w:ascii="Calibri" w:hAnsi="Calibri"/>
          <w:i w:val="0"/>
          <w:sz w:val="22"/>
        </w:rPr>
        <w:t>Arkitekturprincipper: Risikobaserede delegationsniveauer; identity/role model; human-control policy; sign-off og eskalationsveje.</w:t>
      </w:r>
    </w:p>
    <w:p>
      <w:r>
        <w:rPr>
          <w:rFonts w:ascii="Calibri" w:hAnsi="Calibri"/>
          <w:i w:val="0"/>
          <w:sz w:val="22"/>
        </w:rPr>
        <w:t>Produktkrav: Ingen højrisikohandling uden identificeret ansvarlig aktør, meningsfuld kontrol og registreret beslutningsgrundlag.</w:t>
      </w:r>
    </w:p>
    <w:p>
      <w:pPr>
        <w:pStyle w:val="Heading2"/>
      </w:pPr>
      <w:r>
        <w:t>Femårstest</w:t>
      </w:r>
    </w:p>
    <w:p>
      <w:r>
        <w:rPr>
          <w:rFonts w:ascii="Calibri" w:hAnsi="Calibri"/>
          <w:i w:val="0"/>
          <w:sz w:val="22"/>
        </w:rPr>
        <w:t>Andel handlinger med klar ansvarskæde; reelle overrides; tid til indgriben; audit af automatiske handlinger; brugerforståelse af rollefordeling.</w:t>
      </w:r>
    </w:p>
    <w:p>
      <w:pPr>
        <w:spacing w:before="100" w:after="180"/>
        <w:ind w:left="173" w:right="173"/>
        <w:shd w:fill="E6F4EA"/>
      </w:pPr>
      <w:r>
        <w:rPr>
          <w:b/>
          <w:color w:val="216E39"/>
        </w:rPr>
        <w:t xml:space="preserve">✏️ Ratificér efter omskrivning. </w:t>
      </w:r>
      <w:r>
        <w:t>Nødvendigt, men ‘mennesket bestemmer altid’ er ikke tidløst eller tilstrækkeligt præcist.</w:t>
      </w:r>
    </w:p>
    <w:p>
      <w:r>
        <w:br w:type="page"/>
      </w:r>
    </w:p>
    <w:p>
      <w:pPr>
        <w:spacing w:after="60"/>
      </w:pPr>
      <w:r>
        <w:rPr>
          <w:b/>
          <w:color w:val="667085"/>
          <w:sz w:val="18"/>
        </w:rPr>
        <w:t>PRINCIPIEL PRØVELSE</w:t>
      </w:r>
    </w:p>
    <w:p>
      <w:pPr>
        <w:pStyle w:val="Heading1"/>
      </w:pPr>
      <w:r>
        <w:t>Kandidat 5: Bestridelighed og reversibilitet</w:t>
      </w:r>
    </w:p>
    <w:p>
      <w:pPr>
        <w:spacing w:before="100" w:after="180"/>
        <w:ind w:left="173" w:right="173"/>
        <w:shd w:fill="EEF3F6"/>
      </w:pPr>
      <w:r>
        <w:rPr>
          <w:b/>
          <w:color w:val="15324A"/>
        </w:rPr>
        <w:t xml:space="preserve">Erkendelse: </w:t>
      </w:r>
      <w:r>
        <w:t>Cortex’ påstande og handlinger skal kunne udfordres, korrigeres og - hvor muligt - tilbageføres uden urimelig friktion eller tab af ansvarsspor.</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med design- og arkitekturkonsekvenser. Manuskriptets ‘god kollega’ og ‘ændre mening’ er filosofiske billeder af korrigerbarhed.</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Mere kapabel AI øger snarere behovet for institutionel bestridelighed.</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princippet bliver Cortex autoritært i praksis, selv hvis det formelt rådgiver. Korrigerbarhed er en nødvendig beskyttelse mod både system- og menneskefejl.</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Kan delvist følge af autonomi, men reversibilitet og adgang til effektiv genopretning tilfører en selvstændig norm.</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hastighed, dataintegritet og standardisering. Regel: Kritiske data må ikke overskrives, men korrektion skal ske gennem versionerede og synlige ændringer.</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lock-in, irreversible fejl, falsk autoritet, tab af klageadgang og beslutninger, ingen kan rette.</w:t>
            </w:r>
          </w:p>
        </w:tc>
      </w:tr>
    </w:tbl>
    <w:p>
      <w:pPr>
        <w:spacing w:after="0"/>
      </w:pPr>
    </w:p>
    <w:p>
      <w:pPr>
        <w:pStyle w:val="Heading2"/>
      </w:pPr>
      <w:r>
        <w:t>Nødvendig konsekvenskæde</w:t>
      </w:r>
    </w:p>
    <w:p>
      <w:r>
        <w:rPr>
          <w:rFonts w:ascii="Calibri" w:hAnsi="Calibri"/>
          <w:i w:val="0"/>
          <w:sz w:val="22"/>
        </w:rPr>
        <w:t>Designprincipper: Synlige præmisser; let korrektion; konsekvenspreview; begrundede overrides; adgang til second opinion.</w:t>
      </w:r>
    </w:p>
    <w:p>
      <w:r>
        <w:rPr>
          <w:rFonts w:ascii="Calibri" w:hAnsi="Calibri"/>
          <w:i w:val="0"/>
          <w:sz w:val="22"/>
        </w:rPr>
        <w:t>Arkitekturprincipper: Event sourcing/versionering; rollback; immutable audit log; correction workflow; alternative recommendation path.</w:t>
      </w:r>
    </w:p>
    <w:p>
      <w:r>
        <w:rPr>
          <w:rFonts w:ascii="Calibri" w:hAnsi="Calibri"/>
          <w:i w:val="0"/>
          <w:sz w:val="22"/>
        </w:rPr>
        <w:t>Produktkrav: Brugeren kan rette central kontekst og se ny vurdering; alvorlige fejl kan begrænses eller rulles tilbage hurtigt.</w:t>
      </w:r>
    </w:p>
    <w:p>
      <w:pPr>
        <w:pStyle w:val="Heading2"/>
      </w:pPr>
      <w:r>
        <w:t>Femårstest</w:t>
      </w:r>
    </w:p>
    <w:p>
      <w:r>
        <w:rPr>
          <w:rFonts w:ascii="Calibri" w:hAnsi="Calibri"/>
          <w:i w:val="0"/>
          <w:sz w:val="22"/>
        </w:rPr>
        <w:t>Tid fra fejl til korrektion; rollback-success; andel bestridelser med svar; friktion i override; sporbarhed gennem ændringer.</w:t>
      </w:r>
    </w:p>
    <w:p>
      <w:pPr>
        <w:spacing w:before="100" w:after="180"/>
        <w:ind w:left="173" w:right="173"/>
        <w:shd w:fill="E6F4EA"/>
      </w:pPr>
      <w:r>
        <w:rPr>
          <w:b/>
          <w:color w:val="216E39"/>
        </w:rPr>
        <w:t xml:space="preserve">✏️ Ratificér efter omskrivning. </w:t>
      </w:r>
      <w:r>
        <w:t>Bør stå selvstændigt, fordi en formel ret til autonomi er tom uden effektiv korrektion og genopretning.</w:t>
      </w:r>
    </w:p>
    <w:p>
      <w:r>
        <w:br w:type="page"/>
      </w:r>
    </w:p>
    <w:p>
      <w:pPr>
        <w:spacing w:after="60"/>
      </w:pPr>
      <w:r>
        <w:rPr>
          <w:b/>
          <w:color w:val="667085"/>
          <w:sz w:val="18"/>
        </w:rPr>
        <w:t>PRINCIPIEL PRØVELSE</w:t>
      </w:r>
    </w:p>
    <w:p>
      <w:pPr>
        <w:pStyle w:val="Heading1"/>
      </w:pPr>
      <w:r>
        <w:t>Kandidat 6: Kompetencebevarelse og læring</w:t>
      </w:r>
    </w:p>
    <w:p>
      <w:pPr>
        <w:spacing w:before="100" w:after="180"/>
        <w:ind w:left="173" w:right="173"/>
        <w:shd w:fill="EEF3F6"/>
      </w:pPr>
      <w:r>
        <w:rPr>
          <w:b/>
          <w:color w:val="15324A"/>
        </w:rPr>
        <w:t xml:space="preserve">Erkendelse: </w:t>
      </w:r>
      <w:r>
        <w:t>Cortex må ikke systematisk erstatte den refleksion, som er nødvendig for at opretholde menneskelig klinisk kompetence, uden dokumenteret sikker kompensation.</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og langsigtet systemkrav. Manuskriptet blander læringsambition med hypotesen om, at forklaringer automatisk udvikler brugeren.</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også hvis AI bliver bedre end mennesker. Samfundet skal fortsat vælge, hvilke menneskelige kapaciteter der skal bevares.</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princippet kan Cortex optimere kortsigtet performance og samtidig skabe farlig afhængighed. Det strider direkte mod idéen om at styrke dømmekraft.</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Kan ikke fuldt afledes af autonomi; en person kan frivilligt vælge bekvemmelighed og alligevel miste en kapacitet, systemet senere afhænger af.</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effektivitet, brugerpræference og kortsigtet sikkerhed. Regel: Bevar kun kompetence, der har beredskabs-, kontrol- eller professionsværdi; påfør ikke ritualiseret friktion uden læringseffekt.</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deskilling, automation bias, tab af fejlgenkendelse, afhængighed og professionel ansvarstømning.</w:t>
            </w:r>
          </w:p>
        </w:tc>
      </w:tr>
    </w:tbl>
    <w:p>
      <w:pPr>
        <w:spacing w:after="0"/>
      </w:pPr>
    </w:p>
    <w:p>
      <w:pPr>
        <w:pStyle w:val="Heading2"/>
      </w:pPr>
      <w:r>
        <w:t>Nødvendig konsekvenskæde</w:t>
      </w:r>
    </w:p>
    <w:p>
      <w:r>
        <w:rPr>
          <w:rFonts w:ascii="Calibri" w:hAnsi="Calibri"/>
          <w:i w:val="0"/>
          <w:sz w:val="22"/>
        </w:rPr>
        <w:t>Designprincipper: Aktiv refleksion ved læringskritiske valg; forklaringer rettet mod opgave; feedback på begrundelser; gradueret støtte.</w:t>
      </w:r>
    </w:p>
    <w:p>
      <w:r>
        <w:rPr>
          <w:rFonts w:ascii="Calibri" w:hAnsi="Calibri"/>
          <w:i w:val="0"/>
          <w:sz w:val="22"/>
        </w:rPr>
        <w:t>Arkitekturprincipper: Learning telemetry; kompetencemodel; adaptive assistance med sikkerhedsgrænser; periodiske no-assist-evalueringer.</w:t>
      </w:r>
    </w:p>
    <w:p>
      <w:r>
        <w:rPr>
          <w:rFonts w:ascii="Calibri" w:hAnsi="Calibri"/>
          <w:i w:val="0"/>
          <w:sz w:val="22"/>
        </w:rPr>
        <w:t>Produktkrav: Definerede læringskritiske workflows; mulighed for at se og afprøve ræsonnement; måling af transfer og kalibrering.</w:t>
      </w:r>
    </w:p>
    <w:p>
      <w:pPr>
        <w:pStyle w:val="Heading2"/>
      </w:pPr>
      <w:r>
        <w:t>Femårstest</w:t>
      </w:r>
    </w:p>
    <w:p>
      <w:r>
        <w:rPr>
          <w:rFonts w:ascii="Calibri" w:hAnsi="Calibri"/>
          <w:i w:val="0"/>
          <w:sz w:val="22"/>
        </w:rPr>
        <w:t>Longitudinel klinisk kalibrering; performance uden støtte; afhængighedsmønstre; evne til at opdage systemfejl; faktisk læring frem for oplevet læring.</w:t>
      </w:r>
    </w:p>
    <w:p>
      <w:pPr>
        <w:spacing w:before="100" w:after="180"/>
        <w:ind w:left="173" w:right="173"/>
        <w:shd w:fill="E6F4EA"/>
      </w:pPr>
      <w:r>
        <w:rPr>
          <w:b/>
          <w:color w:val="216E39"/>
        </w:rPr>
        <w:t xml:space="preserve">✏️ Ratificér efter omskrivning. </w:t>
      </w:r>
      <w:r>
        <w:t>Et af Cortex’ mest særprægede principper og nødvendigt for langsigtet sikkerhed.</w:t>
      </w:r>
    </w:p>
    <w:p>
      <w:r>
        <w:br w:type="page"/>
      </w:r>
    </w:p>
    <w:p>
      <w:pPr>
        <w:spacing w:after="60"/>
      </w:pPr>
      <w:r>
        <w:rPr>
          <w:b/>
          <w:color w:val="667085"/>
          <w:sz w:val="18"/>
        </w:rPr>
        <w:t>PRINCIPIEL PRØVELSE</w:t>
      </w:r>
    </w:p>
    <w:p>
      <w:pPr>
        <w:pStyle w:val="Heading1"/>
      </w:pPr>
      <w:r>
        <w:t>Kandidat 7: Organisatorisk ansvar og retfærdighed</w:t>
      </w:r>
    </w:p>
    <w:p>
      <w:pPr>
        <w:spacing w:before="100" w:after="180"/>
        <w:ind w:left="173" w:right="173"/>
        <w:shd w:fill="EEF3F6"/>
      </w:pPr>
      <w:r>
        <w:rPr>
          <w:b/>
          <w:color w:val="15324A"/>
        </w:rPr>
        <w:t xml:space="preserve">Erkendelse: </w:t>
      </w:r>
      <w:r>
        <w:t>Cortex skal vurderes på samlede konsekvenser for patientforløb, arbejdsfællesskab og berørte grupper - ikke kun på lokal effektivitet for den primære bruger.</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Manuskriptet er klinikernært og mangler et eksplicit socioteknisk og fordelingsetisk niveau.</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Aktører og sektorer ændres, men eksternalisering af skade og uretfærdig fordeling består som risiko.</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princippet kan Cortex optimere konsultationen og samtidig flytte byrde til patient, personale, hospital eller udsatte grupper. Det ville være en falsk realisering af projektets formål.</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Patientens bedste beskytter individet, men ikke nødvendigvis population, personale eller systemiske fordelingsvirkninger. Derfor selvstændig artikel.</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individualisering, lokal autonomi og innovationshastighed. Regel: Fordelingsskade skal måles; alvorlig systematisk ulighed kan ikke legitimeres af gennemsnitlig gevinst alene.</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burden shifting, bias, ulig adgang, lokal optimering og organisatorisk ansvarspulverisering.</w:t>
            </w:r>
          </w:p>
        </w:tc>
      </w:tr>
    </w:tbl>
    <w:p>
      <w:pPr>
        <w:spacing w:after="0"/>
      </w:pPr>
    </w:p>
    <w:p>
      <w:pPr>
        <w:pStyle w:val="Heading2"/>
      </w:pPr>
      <w:r>
        <w:t>Nødvendig konsekvenskæde</w:t>
      </w:r>
    </w:p>
    <w:p>
      <w:r>
        <w:rPr>
          <w:rFonts w:ascii="Calibri" w:hAnsi="Calibri"/>
          <w:i w:val="0"/>
          <w:sz w:val="22"/>
        </w:rPr>
        <w:t>Designprincipper: Vis konsekvenser for næste aktør; inkluder alternative workflows; test med marginaliserede brugergrupper og patienter.</w:t>
      </w:r>
    </w:p>
    <w:p>
      <w:r>
        <w:rPr>
          <w:rFonts w:ascii="Calibri" w:hAnsi="Calibri"/>
          <w:i w:val="0"/>
          <w:sz w:val="22"/>
        </w:rPr>
        <w:t>Arkitekturprincipper: End-to-end outcome model; fairness monitoring; organisations- og rollemodel; tværsektoriel provenance og handoff-audit.</w:t>
      </w:r>
    </w:p>
    <w:p>
      <w:r>
        <w:rPr>
          <w:rFonts w:ascii="Calibri" w:hAnsi="Calibri"/>
          <w:i w:val="0"/>
          <w:sz w:val="22"/>
        </w:rPr>
        <w:t>Produktkrav: Mål påvirkning på ventetid, opfølgningsbyrde, patientgrupper og andre faggrupper - ikke kun lægens tidsforbrug.</w:t>
      </w:r>
    </w:p>
    <w:p>
      <w:pPr>
        <w:pStyle w:val="Heading2"/>
      </w:pPr>
      <w:r>
        <w:t>Femårstest</w:t>
      </w:r>
    </w:p>
    <w:p>
      <w:r>
        <w:rPr>
          <w:rFonts w:ascii="Calibri" w:hAnsi="Calibri"/>
          <w:i w:val="0"/>
          <w:sz w:val="22"/>
        </w:rPr>
        <w:t>Fordelingsanalyse; byrde pr. aktør; subgroup performance; brud i overgange; om lokale gevinster ledsages af systemiske tab.</w:t>
      </w:r>
    </w:p>
    <w:p>
      <w:pPr>
        <w:spacing w:before="100" w:after="180"/>
        <w:ind w:left="173" w:right="173"/>
        <w:shd w:fill="E6F4EA"/>
      </w:pPr>
      <w:r>
        <w:rPr>
          <w:b/>
          <w:color w:val="216E39"/>
        </w:rPr>
        <w:t xml:space="preserve">✏️ Ratificér efter omskrivning. </w:t>
      </w:r>
      <w:r>
        <w:t>Mangler i manuskriptet, men er nødvendigt for at forhindre, at Cortex bliver menneskeligt lokalt og skadeligt systemisk.</w:t>
      </w:r>
    </w:p>
    <w:p>
      <w:r>
        <w:br w:type="page"/>
      </w:r>
    </w:p>
    <w:p>
      <w:pPr>
        <w:spacing w:after="60"/>
      </w:pPr>
      <w:r>
        <w:rPr>
          <w:b/>
          <w:color w:val="667085"/>
          <w:sz w:val="18"/>
        </w:rPr>
        <w:t>PRINCIPIEL PRØVELSE</w:t>
      </w:r>
    </w:p>
    <w:p>
      <w:pPr>
        <w:pStyle w:val="Heading1"/>
      </w:pPr>
      <w:r>
        <w:t>Kandidat 8: Livscyklusansvar og fejllæring</w:t>
      </w:r>
    </w:p>
    <w:p>
      <w:pPr>
        <w:spacing w:before="100" w:after="180"/>
        <w:ind w:left="173" w:right="173"/>
        <w:shd w:fill="EEF3F6"/>
      </w:pPr>
      <w:r>
        <w:rPr>
          <w:b/>
          <w:color w:val="15324A"/>
        </w:rPr>
        <w:t xml:space="preserve">Erkendelse: </w:t>
      </w:r>
      <w:r>
        <w:t>Cortex skal løbende kunne opdage, forklare og korrigere skadelige effekter, også når de først viser sig efter implementering eller i samspillet med organisationen.</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Normativt princip med governance- og arkitekturkonsekvenser. Overvågning er ikke blot produktkrav; den er ansvar over tid.</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Adaptive systemer gør princippet mere, ikke mindre, nødvendigt.</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Uden løbende ansvar kan et system være korrekt ved lancering og uansvarligt i drift. Cortex’ identitet kan ikke fastfryses ved release.</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Korrigerbarhed ved enkeltsager er ikke nok; livscyklusansvar omfatter drift, kumulative effekter, governance og organisatorisk læring.</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privacy, driftsro og innovationshastighed. Regel: Overvågning skal være dataminimeret og risikoproportionel; alvorlige signaler udløser begrænsning før fuld forklaring.</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modeldrift, ukendte failure modes, normalisering af afvigelser, tavse subgroup-skader og releases uden ansvarlig ejer.</w:t>
            </w:r>
          </w:p>
        </w:tc>
      </w:tr>
    </w:tbl>
    <w:p>
      <w:pPr>
        <w:spacing w:after="0"/>
      </w:pPr>
    </w:p>
    <w:p>
      <w:pPr>
        <w:pStyle w:val="Heading2"/>
      </w:pPr>
      <w:r>
        <w:t>Nødvendig konsekvenskæde</w:t>
      </w:r>
    </w:p>
    <w:p>
      <w:r>
        <w:rPr>
          <w:rFonts w:ascii="Calibri" w:hAnsi="Calibri"/>
          <w:i w:val="0"/>
          <w:sz w:val="22"/>
        </w:rPr>
        <w:t>Designprincipper: Synlige feedbackveje; friktionslet hændelsesrapportering; kommunikation om ændringer; respekt for fortrolighed.</w:t>
      </w:r>
    </w:p>
    <w:p>
      <w:r>
        <w:rPr>
          <w:rFonts w:ascii="Calibri" w:hAnsi="Calibri"/>
          <w:i w:val="0"/>
          <w:sz w:val="22"/>
        </w:rPr>
        <w:t>Arkitekturprincipper: Monitoring, incident management, kill switch, rollback, model/evidence registry, review triggers og ansvarsmatrix.</w:t>
      </w:r>
    </w:p>
    <w:p>
      <w:r>
        <w:rPr>
          <w:rFonts w:ascii="Calibri" w:hAnsi="Calibri"/>
          <w:i w:val="0"/>
          <w:sz w:val="22"/>
        </w:rPr>
        <w:t>Produktkrav: Definerede sikkerhedsindikatorer, tærskler, ejer og responstid pr. use case; offentliggjort change log for klinisk betydende ændringer.</w:t>
      </w:r>
    </w:p>
    <w:p>
      <w:pPr>
        <w:pStyle w:val="Heading2"/>
      </w:pPr>
      <w:r>
        <w:t>Femårstest</w:t>
      </w:r>
    </w:p>
    <w:p>
      <w:r>
        <w:rPr>
          <w:rFonts w:ascii="Calibri" w:hAnsi="Calibri"/>
          <w:i w:val="0"/>
          <w:sz w:val="22"/>
        </w:rPr>
        <w:t>Time-to-detect og time-to-mitigate; ulukkede sikkerhedssignaler; rollback-beredskab; review-overholdelse; gentagelse af kendte fejl.</w:t>
      </w:r>
    </w:p>
    <w:p>
      <w:pPr>
        <w:spacing w:before="100" w:after="180"/>
        <w:ind w:left="173" w:right="173"/>
        <w:shd w:fill="E6F4EA"/>
      </w:pPr>
      <w:r>
        <w:rPr>
          <w:b/>
          <w:color w:val="216E39"/>
        </w:rPr>
        <w:t xml:space="preserve">✏️ Ratificér efter omskrivning. </w:t>
      </w:r>
      <w:r>
        <w:t>Nødvendigt for et system, der skal leve i 20 år; ansvar kan ikke slutte ved designbeslutningen.</w:t>
      </w:r>
    </w:p>
    <w:p>
      <w:r>
        <w:br w:type="page"/>
      </w:r>
    </w:p>
    <w:p>
      <w:pPr>
        <w:spacing w:after="60"/>
      </w:pPr>
      <w:r>
        <w:rPr>
          <w:b/>
          <w:color w:val="667085"/>
          <w:sz w:val="18"/>
        </w:rPr>
        <w:t>PRINCIPIEL PRØVELSE</w:t>
      </w:r>
    </w:p>
    <w:p>
      <w:pPr>
        <w:pStyle w:val="Heading1"/>
      </w:pPr>
      <w:r>
        <w:t>Kandidat 9: Forklaring og transparens</w:t>
      </w:r>
    </w:p>
    <w:p>
      <w:pPr>
        <w:spacing w:before="100" w:after="180"/>
        <w:ind w:left="173" w:right="173"/>
        <w:shd w:fill="EEF3F6"/>
      </w:pPr>
      <w:r>
        <w:rPr>
          <w:b/>
          <w:color w:val="15324A"/>
        </w:rPr>
        <w:t xml:space="preserve">Erkendelse: </w:t>
      </w:r>
      <w:r>
        <w:t>Brugeren skal kunne forstå grundlaget for systemets bidrag tilstrækkeligt til at verificere, handle, lære eller bestride.</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Designprincip og arkitekturprincip, ikke selvstændigt filosofisk grundprincip. Teksten behandler forklaring som både middel, tillidskilde og moralsk krav.</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formålet består; formen vil ændres markant.</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Cortex kan stadig være Cortex uden én generel forklaringsartikel, hvis epistemisk integritet og bestridelighed er bindende.</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Følger af artikel 2 og 5. En selvstændig artikel risikerer at gøre ‘mere forklaring’ til mål, selv når det skaber støj eller falsk sikkerhed.</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opmærksomhed, privacy og enkelhed. Regel: Forklaring skal være opgavebestemt, proportional og sandfærdig; ikke maksimal.</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sort boks, efterrationalisering og blind tillid, men beskyttelsen varetages dybere af integritet og contestability.</w:t>
            </w:r>
          </w:p>
        </w:tc>
      </w:tr>
    </w:tbl>
    <w:p>
      <w:pPr>
        <w:spacing w:after="0"/>
      </w:pPr>
    </w:p>
    <w:p>
      <w:pPr>
        <w:pStyle w:val="Heading2"/>
      </w:pPr>
      <w:r>
        <w:t>Nødvendig konsekvenskæde</w:t>
      </w:r>
    </w:p>
    <w:p>
      <w:r>
        <w:rPr>
          <w:rFonts w:ascii="Calibri" w:hAnsi="Calibri"/>
          <w:i w:val="0"/>
          <w:sz w:val="22"/>
        </w:rPr>
        <w:t>Designprincipper: Progressiv forklaring; svar på definerede hvorfor-spørgsmål; skelnen mellem modelmekanisme og klinisk begrundelse.</w:t>
      </w:r>
    </w:p>
    <w:p>
      <w:r>
        <w:rPr>
          <w:rFonts w:ascii="Calibri" w:hAnsi="Calibri"/>
          <w:i w:val="0"/>
          <w:sz w:val="22"/>
        </w:rPr>
        <w:t>Arkitekturprincipper: Explanation service, provenance views, feature/data lineage og role-based disclosure.</w:t>
      </w:r>
    </w:p>
    <w:p>
      <w:r>
        <w:rPr>
          <w:rFonts w:ascii="Calibri" w:hAnsi="Calibri"/>
          <w:i w:val="0"/>
          <w:sz w:val="22"/>
        </w:rPr>
        <w:t>Produktkrav: Brugeren kan se relevante præmisser og kilder uden at forlade beslutningsflowet.</w:t>
      </w:r>
    </w:p>
    <w:p>
      <w:pPr>
        <w:pStyle w:val="Heading2"/>
      </w:pPr>
      <w:r>
        <w:t>Femårstest</w:t>
      </w:r>
    </w:p>
    <w:p>
      <w:r>
        <w:rPr>
          <w:rFonts w:ascii="Calibri" w:hAnsi="Calibri"/>
          <w:i w:val="0"/>
          <w:sz w:val="22"/>
        </w:rPr>
        <w:t>Verifikationssucces; forståelse; detektion af fejl; overtillid; tidsforbrug og relevans.</w:t>
      </w:r>
    </w:p>
    <w:p>
      <w:pPr>
        <w:spacing w:before="100" w:after="180"/>
        <w:ind w:left="173" w:right="173"/>
        <w:shd w:fill="FFF4CE"/>
      </w:pPr>
      <w:r>
        <w:rPr>
          <w:b/>
          <w:color w:val="8A6400"/>
        </w:rPr>
        <w:t xml:space="preserve">📄 Flyt til Position Paper. </w:t>
      </w:r>
      <w:r>
        <w:t>Vigtigt og styrende, men afledt. Position paperet skal definere typer, opgaver og kvalitetskrav.</w:t>
      </w:r>
    </w:p>
    <w:p>
      <w:r>
        <w:br w:type="page"/>
      </w:r>
    </w:p>
    <w:p>
      <w:pPr>
        <w:spacing w:after="60"/>
      </w:pPr>
      <w:r>
        <w:rPr>
          <w:b/>
          <w:color w:val="667085"/>
          <w:sz w:val="18"/>
        </w:rPr>
        <w:t>PRINCIPIEL PRØVELSE</w:t>
      </w:r>
    </w:p>
    <w:p>
      <w:pPr>
        <w:pStyle w:val="Heading1"/>
      </w:pPr>
      <w:r>
        <w:t>Kandidat 10: Usikkerhed som grundvilkår</w:t>
      </w:r>
    </w:p>
    <w:p>
      <w:pPr>
        <w:spacing w:before="100" w:after="180"/>
        <w:ind w:left="173" w:right="173"/>
        <w:shd w:fill="EEF3F6"/>
      </w:pPr>
      <w:r>
        <w:rPr>
          <w:b/>
          <w:color w:val="15324A"/>
        </w:rPr>
        <w:t xml:space="preserve">Erkendelse: </w:t>
      </w:r>
      <w:r>
        <w:t>Cortex skal repræsentere og kommunikere relevant usikkerhed frem for at foregive sikkerhed.</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Filosofisk analyse med design- og arkitekturkonsekvenser. Som selvstændig norm overlapper den epistemisk integritet.</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som analyse. Former og kilder til usikkerhed ændres.</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Cortex kan forblive Cortex uden en separat usikkerhedsartikel, hvis epistemisk integritet eksplicit kræver begrænsninger og kalibrering.</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Følger af artikel 2. Typologien - epistemisk, aleatorisk, datamæssig og normativ usikkerhed - hører i position paper og arkitektur.</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klarhed og handlekraft. Regel: Kommunikér kun usikkerhed, der kan ændre handling, forståelse eller risikohåndtering.</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falsk præcision, overdiagnostik og skjulte datamangler.</w:t>
            </w:r>
          </w:p>
        </w:tc>
      </w:tr>
    </w:tbl>
    <w:p>
      <w:pPr>
        <w:spacing w:after="0"/>
      </w:pPr>
    </w:p>
    <w:p>
      <w:pPr>
        <w:pStyle w:val="Heading2"/>
      </w:pPr>
      <w:r>
        <w:t>Nødvendig konsekvenskæde</w:t>
      </w:r>
    </w:p>
    <w:p>
      <w:r>
        <w:rPr>
          <w:rFonts w:ascii="Calibri" w:hAnsi="Calibri"/>
          <w:i w:val="0"/>
          <w:sz w:val="22"/>
        </w:rPr>
        <w:t>Designprincipper: Handlingsorienteret usikkerhed; relevante alternativer; betingelser for revision.</w:t>
      </w:r>
    </w:p>
    <w:p>
      <w:r>
        <w:rPr>
          <w:rFonts w:ascii="Calibri" w:hAnsi="Calibri"/>
          <w:i w:val="0"/>
          <w:sz w:val="22"/>
        </w:rPr>
        <w:t>Arkitekturprincipper: Uncertainty taxonomy, calibration, missing-data model og escalation policy.</w:t>
      </w:r>
    </w:p>
    <w:p>
      <w:r>
        <w:rPr>
          <w:rFonts w:ascii="Calibri" w:hAnsi="Calibri"/>
          <w:i w:val="0"/>
          <w:sz w:val="22"/>
        </w:rPr>
        <w:t>Produktkrav: Vis relevante datamangler og hvad der kan ændre vurderingen.</w:t>
      </w:r>
    </w:p>
    <w:p>
      <w:pPr>
        <w:pStyle w:val="Heading2"/>
      </w:pPr>
      <w:r>
        <w:t>Femårstest</w:t>
      </w:r>
    </w:p>
    <w:p>
      <w:r>
        <w:rPr>
          <w:rFonts w:ascii="Calibri" w:hAnsi="Calibri"/>
          <w:i w:val="0"/>
          <w:sz w:val="22"/>
        </w:rPr>
        <w:t>Kalibrering; brugerens risikoforståelse; over-/underhandling; fejl fra skjult usikkerhed.</w:t>
      </w:r>
    </w:p>
    <w:p>
      <w:pPr>
        <w:spacing w:before="100" w:after="180"/>
        <w:ind w:left="173" w:right="173"/>
        <w:shd w:fill="FFF4CE"/>
      </w:pPr>
      <w:r>
        <w:rPr>
          <w:b/>
          <w:color w:val="8A6400"/>
        </w:rPr>
        <w:t xml:space="preserve">📄 Flyt til Position Paper. </w:t>
      </w:r>
      <w:r>
        <w:t>Fundamental erkendelse, men ikke uafledbar artikel. Gør den eksplicit under epistemisk integritet.</w:t>
      </w:r>
    </w:p>
    <w:p>
      <w:r>
        <w:br w:type="page"/>
      </w:r>
    </w:p>
    <w:p>
      <w:pPr>
        <w:spacing w:after="60"/>
      </w:pPr>
      <w:r>
        <w:rPr>
          <w:b/>
          <w:color w:val="667085"/>
          <w:sz w:val="18"/>
        </w:rPr>
        <w:t>PRINCIPIEL PRØVELSE</w:t>
      </w:r>
    </w:p>
    <w:p>
      <w:pPr>
        <w:pStyle w:val="Heading1"/>
      </w:pPr>
      <w:r>
        <w:t>Kandidat 11: Konsultationen og nærværet</w:t>
      </w:r>
    </w:p>
    <w:p>
      <w:pPr>
        <w:spacing w:before="100" w:after="180"/>
        <w:ind w:left="173" w:right="173"/>
        <w:shd w:fill="EEF3F6"/>
      </w:pPr>
      <w:r>
        <w:rPr>
          <w:b/>
          <w:color w:val="15324A"/>
        </w:rPr>
        <w:t xml:space="preserve">Erkendelse: </w:t>
      </w:r>
      <w:r>
        <w:t>Teknologi skal forbedre betingelserne for det kliniske møde frem for at gøre sig selv til centrum.</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Filosofisk princip og designvision. Det blander et tidløst relationelt mål med en bestemt organisationsform: konsultationen.</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 år: sandsynligvis. 20 år: ordet konsultation og mødeformen kan ændres, mens relationel forståelse består.</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Cortex kan stadig være Cortex i asynkrone, virtuelle eller team-baserede forløb uden en klassisk konsultation. Derfor ikke selvstændig artikel.</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Patientens værdighed, proportionalitet og legitim autonomi medfører, at teknologien ikke må kolonisere mødet.</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med dokumentation, sikkerhedsinterventioner og virtuelle workflows. Regel: Beskyt relationel kvalitet, men privilegér ikke fysisk nærvær over sikker og ønsket adgang.</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skærmcentrering, fragmenteret opmærksomhed og dehumanisering.</w:t>
            </w:r>
          </w:p>
        </w:tc>
      </w:tr>
    </w:tbl>
    <w:p>
      <w:pPr>
        <w:spacing w:after="0"/>
      </w:pPr>
    </w:p>
    <w:p>
      <w:pPr>
        <w:pStyle w:val="Heading2"/>
      </w:pPr>
      <w:r>
        <w:t>Nødvendig konsekvenskæde</w:t>
      </w:r>
    </w:p>
    <w:p>
      <w:r>
        <w:rPr>
          <w:rFonts w:ascii="Calibri" w:hAnsi="Calibri"/>
          <w:i w:val="0"/>
          <w:sz w:val="22"/>
        </w:rPr>
        <w:t>Designprincipper: Minimer opmærksomhedsskift; understøt fælles forståelse; tilpas til synkron og asynkron kontakt.</w:t>
      </w:r>
    </w:p>
    <w:p>
      <w:r>
        <w:rPr>
          <w:rFonts w:ascii="Calibri" w:hAnsi="Calibri"/>
          <w:i w:val="0"/>
          <w:sz w:val="22"/>
        </w:rPr>
        <w:t>Arkitekturprincipper: Context-aware modes, multi-party interaction og patient-facing explanations.</w:t>
      </w:r>
    </w:p>
    <w:p>
      <w:r>
        <w:rPr>
          <w:rFonts w:ascii="Calibri" w:hAnsi="Calibri"/>
          <w:i w:val="0"/>
          <w:sz w:val="22"/>
        </w:rPr>
        <w:t>Produktkrav: Mål patientens forståelse, oplevede nærvær og arbejdsflowets fragmentering.</w:t>
      </w:r>
    </w:p>
    <w:p>
      <w:pPr>
        <w:pStyle w:val="Heading2"/>
      </w:pPr>
      <w:r>
        <w:t>Femårstest</w:t>
      </w:r>
    </w:p>
    <w:p>
      <w:r>
        <w:rPr>
          <w:rFonts w:ascii="Calibri" w:hAnsi="Calibri"/>
          <w:i w:val="0"/>
          <w:sz w:val="22"/>
        </w:rPr>
        <w:t>Patientrapporter; observeret øjen-/skærmtid hvor relevant; kommunikationsfejl; adgang og kontinuitet.</w:t>
      </w:r>
    </w:p>
    <w:p>
      <w:pPr>
        <w:spacing w:before="100" w:after="180"/>
        <w:ind w:left="173" w:right="173"/>
        <w:shd w:fill="FFF4CE"/>
      </w:pPr>
      <w:r>
        <w:rPr>
          <w:b/>
          <w:color w:val="8A6400"/>
        </w:rPr>
        <w:t xml:space="preserve">📄 Flyt til Position Paper. </w:t>
      </w:r>
      <w:r>
        <w:t>Projektets stærke fortælling, men for konkret og afledt til permanent artikel. Bevar som fortolkende identitetstekst.</w:t>
      </w:r>
    </w:p>
    <w:p>
      <w:r>
        <w:br w:type="page"/>
      </w:r>
    </w:p>
    <w:p>
      <w:pPr>
        <w:spacing w:after="60"/>
      </w:pPr>
      <w:r>
        <w:rPr>
          <w:b/>
          <w:color w:val="667085"/>
          <w:sz w:val="18"/>
        </w:rPr>
        <w:t>PRINCIPIEL PRØVELSE</w:t>
      </w:r>
    </w:p>
    <w:p>
      <w:pPr>
        <w:pStyle w:val="Heading1"/>
      </w:pPr>
      <w:r>
        <w:t>Kandidat 12: Ingen funktion alene fordi den er teknisk mulig</w:t>
      </w:r>
    </w:p>
    <w:p>
      <w:pPr>
        <w:spacing w:before="100" w:after="180"/>
        <w:ind w:left="173" w:right="173"/>
        <w:shd w:fill="EEF3F6"/>
      </w:pPr>
      <w:r>
        <w:rPr>
          <w:b/>
          <w:color w:val="15324A"/>
        </w:rPr>
        <w:t xml:space="preserve">Erkendelse: </w:t>
      </w:r>
      <w:r>
        <w:t>Teknisk kapabilitet er aldrig i sig selv en tilstrækkelig grund til at bygge eller aktivere en klinisk funktion.</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Prøve</w:t>
            </w:r>
          </w:p>
        </w:tc>
        <w:tc>
          <w:tcPr>
            <w:tcW w:type="dxa" w:w="7272"/>
            <w:tcMar>
              <w:top w:w="90" w:type="dxa"/>
              <w:start w:w="120" w:type="dxa"/>
              <w:bottom w:w="90" w:type="dxa"/>
              <w:end w:w="120" w:type="dxa"/>
            </w:tcMar>
            <w:vAlign w:val="center"/>
          </w:tcPr>
          <w:p>
            <w:pPr>
              <w:shd w:fill="DCE6EB"/>
            </w:pPr>
            <w:r>
              <w:rPr>
                <w:b/>
                <w:color w:val="15324A"/>
                <w:sz w:val="17"/>
              </w:rPr>
              <w:t>Kommissionens vurdering</w:t>
            </w:r>
          </w:p>
        </w:tc>
      </w:tr>
      <w:tr>
        <w:tc>
          <w:tcPr>
            <w:tcW w:type="dxa" w:w="2088"/>
            <w:tcMar>
              <w:top w:w="90" w:type="dxa"/>
              <w:start w:w="120" w:type="dxa"/>
              <w:bottom w:w="90" w:type="dxa"/>
              <w:end w:w="120" w:type="dxa"/>
            </w:tcMar>
            <w:vAlign w:val="center"/>
          </w:tcPr>
          <w:p>
            <w:pPr>
              <w:spacing w:after="0" w:line="259" w:lineRule="auto"/>
            </w:pPr>
            <w:r>
              <w:rPr>
                <w:sz w:val="17"/>
              </w:rPr>
              <w:t>Type</w:t>
            </w:r>
          </w:p>
        </w:tc>
        <w:tc>
          <w:tcPr>
            <w:tcW w:type="dxa" w:w="7272"/>
            <w:tcMar>
              <w:top w:w="90" w:type="dxa"/>
              <w:start w:w="120" w:type="dxa"/>
              <w:bottom w:w="90" w:type="dxa"/>
              <w:end w:w="120" w:type="dxa"/>
            </w:tcMar>
            <w:vAlign w:val="center"/>
          </w:tcPr>
          <w:p>
            <w:pPr>
              <w:spacing w:after="0" w:line="259" w:lineRule="auto"/>
            </w:pPr>
            <w:r>
              <w:rPr>
                <w:sz w:val="17"/>
              </w:rPr>
              <w:t>Design- og porteføljeprincip. Det er en negativ beslutningsregel, ikke en selvstændig moralsk grundnorm.</w:t>
            </w:r>
          </w:p>
        </w:tc>
      </w:tr>
      <w:tr>
        <w:tc>
          <w:tcPr>
            <w:tcW w:type="dxa" w:w="2088"/>
            <w:tcMar>
              <w:top w:w="90" w:type="dxa"/>
              <w:start w:w="120" w:type="dxa"/>
              <w:bottom w:w="90" w:type="dxa"/>
              <w:end w:w="120" w:type="dxa"/>
            </w:tcMar>
            <w:vAlign w:val="center"/>
          </w:tcPr>
          <w:p>
            <w:pPr>
              <w:shd w:fill="F7F9FA"/>
              <w:spacing w:after="0" w:line="259" w:lineRule="auto"/>
            </w:pPr>
            <w:r>
              <w:rPr>
                <w:sz w:val="17"/>
              </w:rPr>
              <w:t>Tidløshed</w:t>
            </w:r>
          </w:p>
        </w:tc>
        <w:tc>
          <w:tcPr>
            <w:tcW w:type="dxa" w:w="7272"/>
            <w:tcMar>
              <w:top w:w="90" w:type="dxa"/>
              <w:start w:w="120" w:type="dxa"/>
              <w:bottom w:w="90" w:type="dxa"/>
              <w:end w:w="120" w:type="dxa"/>
            </w:tcMar>
            <w:vAlign w:val="center"/>
          </w:tcPr>
          <w:p>
            <w:pPr>
              <w:shd w:fill="F7F9FA"/>
              <w:spacing w:after="0" w:line="259" w:lineRule="auto"/>
            </w:pPr>
            <w:r>
              <w:rPr>
                <w:sz w:val="17"/>
              </w:rPr>
              <w:t>5/10/20 år: ja, men trivielt uden krav om legitimt formål og proportionalitet.</w:t>
            </w:r>
          </w:p>
        </w:tc>
      </w:tr>
      <w:tr>
        <w:tc>
          <w:tcPr>
            <w:tcW w:type="dxa" w:w="2088"/>
            <w:tcMar>
              <w:top w:w="90" w:type="dxa"/>
              <w:start w:w="120" w:type="dxa"/>
              <w:bottom w:w="90" w:type="dxa"/>
              <w:end w:w="120" w:type="dxa"/>
            </w:tcMar>
            <w:vAlign w:val="center"/>
          </w:tcPr>
          <w:p>
            <w:pPr>
              <w:spacing w:after="0" w:line="259" w:lineRule="auto"/>
            </w:pPr>
            <w:r>
              <w:rPr>
                <w:sz w:val="17"/>
              </w:rPr>
              <w:t>Nødvendighed</w:t>
            </w:r>
          </w:p>
        </w:tc>
        <w:tc>
          <w:tcPr>
            <w:tcW w:type="dxa" w:w="7272"/>
            <w:tcMar>
              <w:top w:w="90" w:type="dxa"/>
              <w:start w:w="120" w:type="dxa"/>
              <w:bottom w:w="90" w:type="dxa"/>
              <w:end w:w="120" w:type="dxa"/>
            </w:tcMar>
            <w:vAlign w:val="center"/>
          </w:tcPr>
          <w:p>
            <w:pPr>
              <w:spacing w:after="0" w:line="259" w:lineRule="auto"/>
            </w:pPr>
            <w:r>
              <w:rPr>
                <w:sz w:val="17"/>
              </w:rPr>
              <w:t>Cortex kan forblive Cortex uden særskilt artikel, hvis alle funktioner skal have patientformål, ansvarlig ejer og proportional risikoprofil.</w:t>
            </w:r>
          </w:p>
        </w:tc>
      </w:tr>
      <w:tr>
        <w:tc>
          <w:tcPr>
            <w:tcW w:type="dxa" w:w="2088"/>
            <w:tcMar>
              <w:top w:w="90" w:type="dxa"/>
              <w:start w:w="120" w:type="dxa"/>
              <w:bottom w:w="90" w:type="dxa"/>
              <w:end w:w="120" w:type="dxa"/>
            </w:tcMar>
            <w:vAlign w:val="center"/>
          </w:tcPr>
          <w:p>
            <w:pPr>
              <w:shd w:fill="F7F9FA"/>
              <w:spacing w:after="0" w:line="259" w:lineRule="auto"/>
            </w:pPr>
            <w:r>
              <w:rPr>
                <w:sz w:val="17"/>
              </w:rPr>
              <w:t>Afledbarhed</w:t>
            </w:r>
          </w:p>
        </w:tc>
        <w:tc>
          <w:tcPr>
            <w:tcW w:type="dxa" w:w="7272"/>
            <w:tcMar>
              <w:top w:w="90" w:type="dxa"/>
              <w:start w:w="120" w:type="dxa"/>
              <w:bottom w:w="90" w:type="dxa"/>
              <w:end w:w="120" w:type="dxa"/>
            </w:tcMar>
            <w:vAlign w:val="center"/>
          </w:tcPr>
          <w:p>
            <w:pPr>
              <w:shd w:fill="F7F9FA"/>
              <w:spacing w:after="0" w:line="259" w:lineRule="auto"/>
            </w:pPr>
            <w:r>
              <w:rPr>
                <w:sz w:val="17"/>
              </w:rPr>
              <w:t>Følger af værdighed/patientens bedste, proportionalitet og livscyklusansvar.</w:t>
            </w:r>
          </w:p>
        </w:tc>
      </w:tr>
      <w:tr>
        <w:tc>
          <w:tcPr>
            <w:tcW w:type="dxa" w:w="2088"/>
            <w:tcMar>
              <w:top w:w="90" w:type="dxa"/>
              <w:start w:w="120" w:type="dxa"/>
              <w:bottom w:w="90" w:type="dxa"/>
              <w:end w:w="120" w:type="dxa"/>
            </w:tcMar>
            <w:vAlign w:val="center"/>
          </w:tcPr>
          <w:p>
            <w:pPr>
              <w:spacing w:after="0" w:line="259" w:lineRule="auto"/>
            </w:pPr>
            <w:r>
              <w:rPr>
                <w:sz w:val="17"/>
              </w:rPr>
              <w:t>Konflikter og regel</w:t>
            </w:r>
          </w:p>
        </w:tc>
        <w:tc>
          <w:tcPr>
            <w:tcW w:type="dxa" w:w="7272"/>
            <w:tcMar>
              <w:top w:w="90" w:type="dxa"/>
              <w:start w:w="120" w:type="dxa"/>
              <w:bottom w:w="90" w:type="dxa"/>
              <w:end w:w="120" w:type="dxa"/>
            </w:tcMar>
            <w:vAlign w:val="center"/>
          </w:tcPr>
          <w:p>
            <w:pPr>
              <w:spacing w:after="0" w:line="259" w:lineRule="auto"/>
            </w:pPr>
            <w:r>
              <w:rPr>
                <w:sz w:val="17"/>
              </w:rPr>
              <w:t>Kolliderer ikke reelt med andre principper; det filtrerer begrundelser. Derfor lav selvstændig normativ værdi.</w:t>
            </w:r>
          </w:p>
        </w:tc>
      </w:tr>
      <w:tr>
        <w:tc>
          <w:tcPr>
            <w:tcW w:type="dxa" w:w="2088"/>
            <w:tcMar>
              <w:top w:w="90" w:type="dxa"/>
              <w:start w:w="120" w:type="dxa"/>
              <w:bottom w:w="90" w:type="dxa"/>
              <w:end w:w="120" w:type="dxa"/>
            </w:tcMar>
            <w:vAlign w:val="center"/>
          </w:tcPr>
          <w:p>
            <w:pPr>
              <w:shd w:fill="F7F9FA"/>
              <w:spacing w:after="0" w:line="259" w:lineRule="auto"/>
            </w:pPr>
            <w:r>
              <w:rPr>
                <w:sz w:val="17"/>
              </w:rPr>
              <w:t>Beskyttelsesfunktion</w:t>
            </w:r>
          </w:p>
        </w:tc>
        <w:tc>
          <w:tcPr>
            <w:tcW w:type="dxa" w:w="7272"/>
            <w:tcMar>
              <w:top w:w="90" w:type="dxa"/>
              <w:start w:w="120" w:type="dxa"/>
              <w:bottom w:w="90" w:type="dxa"/>
              <w:end w:w="120" w:type="dxa"/>
            </w:tcMar>
            <w:vAlign w:val="center"/>
          </w:tcPr>
          <w:p>
            <w:pPr>
              <w:shd w:fill="F7F9FA"/>
              <w:spacing w:after="0" w:line="259" w:lineRule="auto"/>
            </w:pPr>
            <w:r>
              <w:rPr>
                <w:sz w:val="17"/>
              </w:rPr>
              <w:t>Beskytter mod feature creep, AI-hype og løsninger på ikke-problemer.</w:t>
            </w:r>
          </w:p>
        </w:tc>
      </w:tr>
    </w:tbl>
    <w:p>
      <w:pPr>
        <w:spacing w:after="0"/>
      </w:pPr>
    </w:p>
    <w:p>
      <w:pPr>
        <w:pStyle w:val="Heading2"/>
      </w:pPr>
      <w:r>
        <w:t>Nødvendig konsekvenskæde</w:t>
      </w:r>
    </w:p>
    <w:p>
      <w:r>
        <w:rPr>
          <w:rFonts w:ascii="Calibri" w:hAnsi="Calibri"/>
          <w:i w:val="0"/>
          <w:sz w:val="22"/>
        </w:rPr>
        <w:t>Designprincipper: Problem-first discovery; forbud mod kapabilitetsdrevet default-lancering.</w:t>
      </w:r>
    </w:p>
    <w:p>
      <w:r>
        <w:rPr>
          <w:rFonts w:ascii="Calibri" w:hAnsi="Calibri"/>
          <w:i w:val="0"/>
          <w:sz w:val="22"/>
        </w:rPr>
        <w:t>Arkitekturprincipper: Ingen nødvendig særarkitektur; governance gate og krav om use-case dossier.</w:t>
      </w:r>
    </w:p>
    <w:p>
      <w:r>
        <w:rPr>
          <w:rFonts w:ascii="Calibri" w:hAnsi="Calibri"/>
          <w:i w:val="0"/>
          <w:sz w:val="22"/>
        </w:rPr>
        <w:t>Produktkrav: Hver funktion har dokumenteret klinisk formål, alternativer, risiko, succesmål og udfasningskriterium.</w:t>
      </w:r>
    </w:p>
    <w:p>
      <w:pPr>
        <w:pStyle w:val="Heading2"/>
      </w:pPr>
      <w:r>
        <w:t>Femårstest</w:t>
      </w:r>
    </w:p>
    <w:p>
      <w:r>
        <w:rPr>
          <w:rFonts w:ascii="Calibri" w:hAnsi="Calibri"/>
          <w:i w:val="0"/>
          <w:sz w:val="22"/>
        </w:rPr>
        <w:t>Andel features med godkendt use-case dossier; faktisk anvendelse; sunset-rate; funktioner uden målbar klinisk værdi.</w:t>
      </w:r>
    </w:p>
    <w:p>
      <w:pPr>
        <w:spacing w:before="100" w:after="180"/>
        <w:ind w:left="173" w:right="173"/>
        <w:shd w:fill="FFF4CE"/>
      </w:pPr>
      <w:r>
        <w:rPr>
          <w:b/>
          <w:color w:val="8A6400"/>
        </w:rPr>
        <w:t xml:space="preserve">📄 Flyt til Position Paper. </w:t>
      </w:r>
      <w:r>
        <w:t>En fremragende porteføljeregel, men afledt og ikke grundlæggende nok til Constitutionen.</w:t>
      </w:r>
    </w:p>
    <w:p>
      <w:r>
        <w:br w:type="page"/>
      </w:r>
    </w:p>
    <w:p>
      <w:pPr>
        <w:spacing w:after="60"/>
      </w:pPr>
      <w:r>
        <w:rPr>
          <w:b/>
          <w:color w:val="667085"/>
          <w:sz w:val="18"/>
        </w:rPr>
        <w:t>CONSTITUTIONEN SOM HELHED</w:t>
      </w:r>
    </w:p>
    <w:p>
      <w:pPr>
        <w:pStyle w:val="Heading1"/>
      </w:pPr>
      <w:r>
        <w:t>Metaanalyse: overlap og sammenlægning</w:t>
      </w:r>
    </w:p>
    <w:tbl>
      <w:tblPr>
        <w:tblW w:type="dxa" w:w="9360"/>
        <w:jc w:val="left"/>
        <w:tblLayout w:type="fixed"/>
        <w:tblLook w:firstColumn="1" w:firstRow="1" w:lastColumn="0" w:lastRow="0" w:noHBand="0" w:noVBand="1" w:val="04A0"/>
        <w:tblInd w:w="120" w:type="dxa"/>
      </w:tblPr>
      <w:tblGrid>
        <w:gridCol w:w="2592"/>
        <w:gridCol w:w="3456"/>
        <w:gridCol w:w="3312"/>
      </w:tblGrid>
      <w:tr>
        <w:trPr>
          <w:tblHeader/>
        </w:trPr>
        <w:tc>
          <w:tcPr>
            <w:tcW w:type="dxa" w:w="2592"/>
            <w:tcMar>
              <w:top w:w="90" w:type="dxa"/>
              <w:start w:w="120" w:type="dxa"/>
              <w:bottom w:w="90" w:type="dxa"/>
              <w:end w:w="120" w:type="dxa"/>
            </w:tcMar>
            <w:vAlign w:val="center"/>
          </w:tcPr>
          <w:p>
            <w:pPr>
              <w:shd w:fill="DCE6EB"/>
            </w:pPr>
            <w:r>
              <w:rPr>
                <w:b/>
                <w:color w:val="15324A"/>
                <w:sz w:val="17"/>
              </w:rPr>
              <w:t>Nuværende tema</w:t>
            </w:r>
          </w:p>
        </w:tc>
        <w:tc>
          <w:tcPr>
            <w:tcW w:type="dxa" w:w="3456"/>
            <w:tcMar>
              <w:top w:w="90" w:type="dxa"/>
              <w:start w:w="120" w:type="dxa"/>
              <w:bottom w:w="90" w:type="dxa"/>
              <w:end w:w="120" w:type="dxa"/>
            </w:tcMar>
            <w:vAlign w:val="center"/>
          </w:tcPr>
          <w:p>
            <w:pPr>
              <w:shd w:fill="DCE6EB"/>
            </w:pPr>
            <w:r>
              <w:rPr>
                <w:b/>
                <w:color w:val="15324A"/>
                <w:sz w:val="17"/>
              </w:rPr>
              <w:t>Disposition</w:t>
            </w:r>
          </w:p>
        </w:tc>
        <w:tc>
          <w:tcPr>
            <w:tcW w:type="dxa" w:w="3312"/>
            <w:tcMar>
              <w:top w:w="90" w:type="dxa"/>
              <w:start w:w="120" w:type="dxa"/>
              <w:bottom w:w="90" w:type="dxa"/>
              <w:end w:w="120" w:type="dxa"/>
            </w:tcMar>
            <w:vAlign w:val="center"/>
          </w:tcPr>
          <w:p>
            <w:pPr>
              <w:shd w:fill="DCE6EB"/>
            </w:pPr>
            <w:r>
              <w:rPr>
                <w:b/>
                <w:color w:val="15324A"/>
                <w:sz w:val="17"/>
              </w:rPr>
              <w:t>Begrundelse</w:t>
            </w:r>
          </w:p>
        </w:tc>
      </w:tr>
      <w:tr>
        <w:tc>
          <w:tcPr>
            <w:tcW w:type="dxa" w:w="2592"/>
            <w:tcMar>
              <w:top w:w="90" w:type="dxa"/>
              <w:start w:w="120" w:type="dxa"/>
              <w:bottom w:w="90" w:type="dxa"/>
              <w:end w:w="120" w:type="dxa"/>
            </w:tcMar>
            <w:vAlign w:val="center"/>
          </w:tcPr>
          <w:p>
            <w:pPr>
              <w:spacing w:after="0" w:line="259" w:lineRule="auto"/>
            </w:pPr>
            <w:r>
              <w:rPr>
                <w:sz w:val="17"/>
              </w:rPr>
              <w:t>Evidens, transparens, forklaring, usikkerhed</w:t>
            </w:r>
          </w:p>
        </w:tc>
        <w:tc>
          <w:tcPr>
            <w:tcW w:type="dxa" w:w="3456"/>
            <w:tcMar>
              <w:top w:w="90" w:type="dxa"/>
              <w:start w:w="120" w:type="dxa"/>
              <w:bottom w:w="90" w:type="dxa"/>
              <w:end w:w="120" w:type="dxa"/>
            </w:tcMar>
            <w:vAlign w:val="center"/>
          </w:tcPr>
          <w:p>
            <w:pPr>
              <w:spacing w:after="0" w:line="259" w:lineRule="auto"/>
            </w:pPr>
            <w:r>
              <w:rPr>
                <w:sz w:val="17"/>
              </w:rPr>
              <w:t>Saml epistemisk kerne; flyt metode til position papers</w:t>
            </w:r>
          </w:p>
        </w:tc>
        <w:tc>
          <w:tcPr>
            <w:tcW w:type="dxa" w:w="3312"/>
            <w:tcMar>
              <w:top w:w="90" w:type="dxa"/>
              <w:start w:w="120" w:type="dxa"/>
              <w:bottom w:w="90" w:type="dxa"/>
              <w:end w:w="120" w:type="dxa"/>
            </w:tcMar>
            <w:vAlign w:val="center"/>
          </w:tcPr>
          <w:p>
            <w:pPr>
              <w:spacing w:after="0" w:line="259" w:lineRule="auto"/>
            </w:pPr>
            <w:r>
              <w:rPr>
                <w:sz w:val="17"/>
              </w:rPr>
              <w:t>Fire artikler ville gentage samme beskyttelse</w:t>
            </w:r>
          </w:p>
        </w:tc>
      </w:tr>
      <w:tr>
        <w:tc>
          <w:tcPr>
            <w:tcW w:type="dxa" w:w="2592"/>
            <w:tcMar>
              <w:top w:w="90" w:type="dxa"/>
              <w:start w:w="120" w:type="dxa"/>
              <w:bottom w:w="90" w:type="dxa"/>
              <w:end w:w="120" w:type="dxa"/>
            </w:tcMar>
            <w:vAlign w:val="center"/>
          </w:tcPr>
          <w:p>
            <w:pPr>
              <w:shd w:fill="F7F9FA"/>
              <w:spacing w:after="0" w:line="259" w:lineRule="auto"/>
            </w:pPr>
            <w:r>
              <w:rPr>
                <w:sz w:val="17"/>
              </w:rPr>
              <w:t>Lægeansvar, patientautonomi, professionel autonomi</w:t>
            </w:r>
          </w:p>
        </w:tc>
        <w:tc>
          <w:tcPr>
            <w:tcW w:type="dxa" w:w="3456"/>
            <w:tcMar>
              <w:top w:w="90" w:type="dxa"/>
              <w:start w:w="120" w:type="dxa"/>
              <w:bottom w:w="90" w:type="dxa"/>
              <w:end w:w="120" w:type="dxa"/>
            </w:tcMar>
            <w:vAlign w:val="center"/>
          </w:tcPr>
          <w:p>
            <w:pPr>
              <w:shd w:fill="F7F9FA"/>
              <w:spacing w:after="0" w:line="259" w:lineRule="auto"/>
            </w:pPr>
            <w:r>
              <w:rPr>
                <w:sz w:val="17"/>
              </w:rPr>
              <w:t>Saml under legitim autonomi; uddyb roller særskilt</w:t>
            </w:r>
          </w:p>
        </w:tc>
        <w:tc>
          <w:tcPr>
            <w:tcW w:type="dxa" w:w="3312"/>
            <w:tcMar>
              <w:top w:w="90" w:type="dxa"/>
              <w:start w:w="120" w:type="dxa"/>
              <w:bottom w:w="90" w:type="dxa"/>
              <w:end w:w="120" w:type="dxa"/>
            </w:tcMar>
            <w:vAlign w:val="center"/>
          </w:tcPr>
          <w:p>
            <w:pPr>
              <w:shd w:fill="F7F9FA"/>
              <w:spacing w:after="0" w:line="259" w:lineRule="auto"/>
            </w:pPr>
            <w:r>
              <w:rPr>
                <w:sz w:val="17"/>
              </w:rPr>
              <w:t>Aktører ændres; agency og legitim myndighed består</w:t>
            </w:r>
          </w:p>
        </w:tc>
      </w:tr>
      <w:tr>
        <w:tc>
          <w:tcPr>
            <w:tcW w:type="dxa" w:w="2592"/>
            <w:tcMar>
              <w:top w:w="90" w:type="dxa"/>
              <w:start w:w="120" w:type="dxa"/>
              <w:bottom w:w="90" w:type="dxa"/>
              <w:end w:w="120" w:type="dxa"/>
            </w:tcMar>
            <w:vAlign w:val="center"/>
          </w:tcPr>
          <w:p>
            <w:pPr>
              <w:spacing w:after="0" w:line="259" w:lineRule="auto"/>
            </w:pPr>
            <w:r>
              <w:rPr>
                <w:sz w:val="17"/>
              </w:rPr>
              <w:t>Korrigerbarhed, ændre mening, overrides, rollback</w:t>
            </w:r>
          </w:p>
        </w:tc>
        <w:tc>
          <w:tcPr>
            <w:tcW w:type="dxa" w:w="3456"/>
            <w:tcMar>
              <w:top w:w="90" w:type="dxa"/>
              <w:start w:w="120" w:type="dxa"/>
              <w:bottom w:w="90" w:type="dxa"/>
              <w:end w:w="120" w:type="dxa"/>
            </w:tcMar>
            <w:vAlign w:val="center"/>
          </w:tcPr>
          <w:p>
            <w:pPr>
              <w:spacing w:after="0" w:line="259" w:lineRule="auto"/>
            </w:pPr>
            <w:r>
              <w:rPr>
                <w:sz w:val="17"/>
              </w:rPr>
              <w:t>Saml i bestridelighed og reversibilitet</w:t>
            </w:r>
          </w:p>
        </w:tc>
        <w:tc>
          <w:tcPr>
            <w:tcW w:type="dxa" w:w="3312"/>
            <w:tcMar>
              <w:top w:w="90" w:type="dxa"/>
              <w:start w:w="120" w:type="dxa"/>
              <w:bottom w:w="90" w:type="dxa"/>
              <w:end w:w="120" w:type="dxa"/>
            </w:tcMar>
            <w:vAlign w:val="center"/>
          </w:tcPr>
          <w:p>
            <w:pPr>
              <w:spacing w:after="0" w:line="259" w:lineRule="auto"/>
            </w:pPr>
            <w:r>
              <w:rPr>
                <w:sz w:val="17"/>
              </w:rPr>
              <w:t>Fra menneskelig dialog til teknisk genopretning</w:t>
            </w:r>
          </w:p>
        </w:tc>
      </w:tr>
      <w:tr>
        <w:tc>
          <w:tcPr>
            <w:tcW w:type="dxa" w:w="2592"/>
            <w:tcMar>
              <w:top w:w="90" w:type="dxa"/>
              <w:start w:w="120" w:type="dxa"/>
              <w:bottom w:w="90" w:type="dxa"/>
              <w:end w:w="120" w:type="dxa"/>
            </w:tcMar>
            <w:vAlign w:val="center"/>
          </w:tcPr>
          <w:p>
            <w:pPr>
              <w:shd w:fill="F7F9FA"/>
              <w:spacing w:after="0" w:line="259" w:lineRule="auto"/>
            </w:pPr>
            <w:r>
              <w:rPr>
                <w:sz w:val="17"/>
              </w:rPr>
              <w:t>Nærvær, forståelse, menneskelighed</w:t>
            </w:r>
          </w:p>
        </w:tc>
        <w:tc>
          <w:tcPr>
            <w:tcW w:type="dxa" w:w="3456"/>
            <w:tcMar>
              <w:top w:w="90" w:type="dxa"/>
              <w:start w:w="120" w:type="dxa"/>
              <w:bottom w:w="90" w:type="dxa"/>
              <w:end w:w="120" w:type="dxa"/>
            </w:tcMar>
            <w:vAlign w:val="center"/>
          </w:tcPr>
          <w:p>
            <w:pPr>
              <w:shd w:fill="F7F9FA"/>
              <w:spacing w:after="0" w:line="259" w:lineRule="auto"/>
            </w:pPr>
            <w:r>
              <w:rPr>
                <w:sz w:val="17"/>
              </w:rPr>
              <w:t>Forankr i værdighed; bevar position paper</w:t>
            </w:r>
          </w:p>
        </w:tc>
        <w:tc>
          <w:tcPr>
            <w:tcW w:type="dxa" w:w="3312"/>
            <w:tcMar>
              <w:top w:w="90" w:type="dxa"/>
              <w:start w:w="120" w:type="dxa"/>
              <w:bottom w:w="90" w:type="dxa"/>
              <w:end w:w="120" w:type="dxa"/>
            </w:tcMar>
            <w:vAlign w:val="center"/>
          </w:tcPr>
          <w:p>
            <w:pPr>
              <w:shd w:fill="F7F9FA"/>
              <w:spacing w:after="0" w:line="259" w:lineRule="auto"/>
            </w:pPr>
            <w:r>
              <w:rPr>
                <w:sz w:val="17"/>
              </w:rPr>
              <w:t>Vigtige fortolkninger, men ikke uafledbare</w:t>
            </w:r>
          </w:p>
        </w:tc>
      </w:tr>
      <w:tr>
        <w:tc>
          <w:tcPr>
            <w:tcW w:type="dxa" w:w="2592"/>
            <w:tcMar>
              <w:top w:w="90" w:type="dxa"/>
              <w:start w:w="120" w:type="dxa"/>
              <w:bottom w:w="90" w:type="dxa"/>
              <w:end w:w="120" w:type="dxa"/>
            </w:tcMar>
            <w:vAlign w:val="center"/>
          </w:tcPr>
          <w:p>
            <w:pPr>
              <w:spacing w:after="0" w:line="259" w:lineRule="auto"/>
            </w:pPr>
            <w:r>
              <w:rPr>
                <w:sz w:val="17"/>
              </w:rPr>
              <w:t>Læring, deskilling, dømmekraft</w:t>
            </w:r>
          </w:p>
        </w:tc>
        <w:tc>
          <w:tcPr>
            <w:tcW w:type="dxa" w:w="3456"/>
            <w:tcMar>
              <w:top w:w="90" w:type="dxa"/>
              <w:start w:w="120" w:type="dxa"/>
              <w:bottom w:w="90" w:type="dxa"/>
              <w:end w:w="120" w:type="dxa"/>
            </w:tcMar>
            <w:vAlign w:val="center"/>
          </w:tcPr>
          <w:p>
            <w:pPr>
              <w:spacing w:after="0" w:line="259" w:lineRule="auto"/>
            </w:pPr>
            <w:r>
              <w:rPr>
                <w:sz w:val="17"/>
              </w:rPr>
              <w:t>Saml i kompetencebevarelse</w:t>
            </w:r>
          </w:p>
        </w:tc>
        <w:tc>
          <w:tcPr>
            <w:tcW w:type="dxa" w:w="3312"/>
            <w:tcMar>
              <w:top w:w="90" w:type="dxa"/>
              <w:start w:w="120" w:type="dxa"/>
              <w:bottom w:w="90" w:type="dxa"/>
              <w:end w:w="120" w:type="dxa"/>
            </w:tcMar>
            <w:vAlign w:val="center"/>
          </w:tcPr>
          <w:p>
            <w:pPr>
              <w:spacing w:after="0" w:line="259" w:lineRule="auto"/>
            </w:pPr>
            <w:r>
              <w:rPr>
                <w:sz w:val="17"/>
              </w:rPr>
              <w:t>Langsigtet identitetsmarkør</w:t>
            </w:r>
          </w:p>
        </w:tc>
      </w:tr>
      <w:tr>
        <w:tc>
          <w:tcPr>
            <w:tcW w:type="dxa" w:w="2592"/>
            <w:tcMar>
              <w:top w:w="90" w:type="dxa"/>
              <w:start w:w="120" w:type="dxa"/>
              <w:bottom w:w="90" w:type="dxa"/>
              <w:end w:w="120" w:type="dxa"/>
            </w:tcMar>
            <w:vAlign w:val="center"/>
          </w:tcPr>
          <w:p>
            <w:pPr>
              <w:shd w:fill="F7F9FA"/>
              <w:spacing w:after="0" w:line="259" w:lineRule="auto"/>
            </w:pPr>
            <w:r>
              <w:rPr>
                <w:sz w:val="17"/>
              </w:rPr>
              <w:t>Governance, monitorering, fejl</w:t>
            </w:r>
          </w:p>
        </w:tc>
        <w:tc>
          <w:tcPr>
            <w:tcW w:type="dxa" w:w="3456"/>
            <w:tcMar>
              <w:top w:w="90" w:type="dxa"/>
              <w:start w:w="120" w:type="dxa"/>
              <w:bottom w:w="90" w:type="dxa"/>
              <w:end w:w="120" w:type="dxa"/>
            </w:tcMar>
            <w:vAlign w:val="center"/>
          </w:tcPr>
          <w:p>
            <w:pPr>
              <w:shd w:fill="F7F9FA"/>
              <w:spacing w:after="0" w:line="259" w:lineRule="auto"/>
            </w:pPr>
            <w:r>
              <w:rPr>
                <w:sz w:val="17"/>
              </w:rPr>
              <w:t>Saml i livscyklusansvar</w:t>
            </w:r>
          </w:p>
        </w:tc>
        <w:tc>
          <w:tcPr>
            <w:tcW w:type="dxa" w:w="3312"/>
            <w:tcMar>
              <w:top w:w="90" w:type="dxa"/>
              <w:start w:w="120" w:type="dxa"/>
              <w:bottom w:w="90" w:type="dxa"/>
              <w:end w:w="120" w:type="dxa"/>
            </w:tcMar>
            <w:vAlign w:val="center"/>
          </w:tcPr>
          <w:p>
            <w:pPr>
              <w:shd w:fill="F7F9FA"/>
              <w:spacing w:after="0" w:line="259" w:lineRule="auto"/>
            </w:pPr>
            <w:r>
              <w:rPr>
                <w:sz w:val="17"/>
              </w:rPr>
              <w:t>Ansvar skal fortsætte efter release</w:t>
            </w:r>
          </w:p>
        </w:tc>
      </w:tr>
    </w:tbl>
    <w:p>
      <w:pPr>
        <w:spacing w:after="0"/>
      </w:pPr>
    </w:p>
    <w:p>
      <w:pPr>
        <w:pStyle w:val="Heading2"/>
      </w:pPr>
      <w:r>
        <w:t>Er der for mange principper?</w:t>
      </w:r>
    </w:p>
    <w:p>
      <w:r>
        <w:rPr>
          <w:rFonts w:ascii="Calibri" w:hAnsi="Calibri"/>
          <w:i w:val="0"/>
          <w:sz w:val="22"/>
        </w:rPr>
        <w:t>Otte artikler er i overkanten, men forsvarligt. Færre end syv vil skjule selvstændige beskyttelsesfunktioner; flere end ni vil sandsynligvis skabe overlap, fortolkningsarbitrage og svag prioritering. Underartikler og position papers bør bære detaljen.</w:t>
      </w:r>
    </w:p>
    <w:p>
      <w:pPr>
        <w:pStyle w:val="Heading2"/>
      </w:pPr>
      <w:r>
        <w:t>Mangler der noget?</w:t>
      </w:r>
    </w:p>
    <w:p>
      <w:r>
        <w:rPr>
          <w:rFonts w:ascii="Calibri" w:hAnsi="Calibri"/>
          <w:i w:val="0"/>
          <w:sz w:val="22"/>
        </w:rPr>
        <w:t>De største tidligere mangler - værdighed, proportionalitet, subsidiaritet, reversibilitet, patientautonomi, organisatorisk ansvar og fejl - er nu enten artikler eller indbygget i konfliktreglerne. Subsidiaritet bør forstås som en regel under legitim autonomi: Beslutninger træffes på laveste kompetente og ansvarlige niveau, med eskalation når risiko eller kompleksitet kræver det.</w:t>
      </w:r>
    </w:p>
    <w:p>
      <w:r>
        <w:br w:type="page"/>
      </w:r>
    </w:p>
    <w:p>
      <w:pPr>
        <w:spacing w:after="60"/>
      </w:pPr>
      <w:r>
        <w:rPr>
          <w:b/>
          <w:color w:val="667085"/>
          <w:sz w:val="18"/>
        </w:rPr>
        <w:t>MINIMAL CONSTITUTION</w:t>
      </w:r>
    </w:p>
    <w:p>
      <w:pPr>
        <w:pStyle w:val="Heading1"/>
      </w:pPr>
      <w:r>
        <w:t>De fem principper, der alene kan bære identiteten</w:t>
      </w:r>
    </w:p>
    <w:p>
      <w:pPr>
        <w:pStyle w:val="ListNumber"/>
        <w:spacing w:after="80" w:line="300" w:lineRule="auto"/>
      </w:pPr>
      <w:r>
        <w:t>Menneskelig værdighed og patientens bedste - fastlægger hvem og hvad Cortex er til for.</w:t>
      </w:r>
    </w:p>
    <w:p>
      <w:pPr>
        <w:pStyle w:val="ListNumber"/>
        <w:spacing w:after="80" w:line="300" w:lineRule="auto"/>
      </w:pPr>
      <w:r>
        <w:t>Epistemisk integritet - fastlægger hvordan Cortex må hævde at vide noget.</w:t>
      </w:r>
    </w:p>
    <w:p>
      <w:pPr>
        <w:pStyle w:val="ListNumber"/>
        <w:spacing w:after="80" w:line="300" w:lineRule="auto"/>
      </w:pPr>
      <w:r>
        <w:t>Proportionalitet og opmærksomhed - fastlægger hvornår Cortex må intervenere.</w:t>
      </w:r>
    </w:p>
    <w:p>
      <w:pPr>
        <w:pStyle w:val="ListNumber"/>
        <w:spacing w:after="80" w:line="300" w:lineRule="auto"/>
      </w:pPr>
      <w:r>
        <w:t>Legitim autonomi og beslutningsmyndighed - fastlægger hvem der må beslutte og delegere.</w:t>
      </w:r>
    </w:p>
    <w:p>
      <w:pPr>
        <w:pStyle w:val="ListNumber"/>
        <w:spacing w:after="80" w:line="300" w:lineRule="auto"/>
      </w:pPr>
      <w:r>
        <w:t>Livscyklusansvar og korrigerbarhed - fastlægger hvordan Cortex bærer ansvar, når det tager fejl eller verden ændres.</w:t>
      </w:r>
    </w:p>
    <w:p>
      <w:r>
        <w:rPr>
          <w:rFonts w:ascii="Calibri" w:hAnsi="Calibri"/>
          <w:i w:val="0"/>
          <w:sz w:val="22"/>
        </w:rPr>
        <w:t>Kompetencebevarelse, organisatorisk retfærdighed og bestridelighed er fortsat ratificerede artikler i den fulde Constitution. De fem ovenfor er imidlertid den irreducible identitet: formål, viden, intervention, myndighed og ansvar over tid.</w:t>
      </w:r>
    </w:p>
    <w:p>
      <w:pPr>
        <w:spacing w:before="100" w:after="180"/>
        <w:ind w:left="173" w:right="173"/>
        <w:shd w:fill="FCE8E6"/>
      </w:pPr>
      <w:r>
        <w:rPr>
          <w:b/>
          <w:color w:val="9B2C2C"/>
        </w:rPr>
        <w:t xml:space="preserve">Kommissionens advarsel: </w:t>
      </w:r>
      <w:r>
        <w:t>En ‘minimal’ Constitution må ikke bruges til at nedgradere læring, retfærdighed eller klageadgang. De er kun udeladt her for at besvare kontrafaktisk spørgsmålet om de fem mest identitetsbærende principper.</w:t>
      </w:r>
    </w:p>
    <w:p>
      <w:r>
        <w:br w:type="page"/>
      </w:r>
    </w:p>
    <w:p>
      <w:pPr>
        <w:spacing w:after="60"/>
      </w:pPr>
      <w:r>
        <w:rPr>
          <w:b/>
          <w:color w:val="667085"/>
          <w:sz w:val="18"/>
        </w:rPr>
        <w:t>FEM FREMTIDSSCENARIER</w:t>
      </w:r>
    </w:p>
    <w:p>
      <w:pPr>
        <w:pStyle w:val="Heading1"/>
      </w:pPr>
      <w:r>
        <w:t>Constitution Stress Test</w:t>
      </w:r>
    </w:p>
    <w:tbl>
      <w:tblPr>
        <w:tblW w:type="dxa" w:w="9360"/>
        <w:jc w:val="left"/>
        <w:tblLayout w:type="fixed"/>
        <w:tblLook w:firstColumn="1" w:firstRow="1" w:lastColumn="0" w:lastRow="0" w:noHBand="0" w:noVBand="1" w:val="04A0"/>
        <w:tblInd w:w="120" w:type="dxa"/>
      </w:tblPr>
      <w:tblGrid>
        <w:gridCol w:w="2376"/>
        <w:gridCol w:w="2952"/>
        <w:gridCol w:w="4032"/>
      </w:tblGrid>
      <w:tr>
        <w:trPr>
          <w:tblHeader/>
        </w:trPr>
        <w:tc>
          <w:tcPr>
            <w:tcW w:type="dxa" w:w="2376"/>
            <w:tcMar>
              <w:top w:w="90" w:type="dxa"/>
              <w:start w:w="120" w:type="dxa"/>
              <w:bottom w:w="90" w:type="dxa"/>
              <w:end w:w="120" w:type="dxa"/>
            </w:tcMar>
            <w:vAlign w:val="center"/>
          </w:tcPr>
          <w:p>
            <w:pPr>
              <w:shd w:fill="DCE6EB"/>
            </w:pPr>
            <w:r>
              <w:rPr>
                <w:b/>
                <w:color w:val="15324A"/>
                <w:sz w:val="17"/>
              </w:rPr>
              <w:t>Scenario</w:t>
            </w:r>
          </w:p>
        </w:tc>
        <w:tc>
          <w:tcPr>
            <w:tcW w:type="dxa" w:w="2952"/>
            <w:tcMar>
              <w:top w:w="90" w:type="dxa"/>
              <w:start w:w="120" w:type="dxa"/>
              <w:bottom w:w="90" w:type="dxa"/>
              <w:end w:w="120" w:type="dxa"/>
            </w:tcMar>
            <w:vAlign w:val="center"/>
          </w:tcPr>
          <w:p>
            <w:pPr>
              <w:shd w:fill="DCE6EB"/>
            </w:pPr>
            <w:r>
              <w:rPr>
                <w:b/>
                <w:color w:val="15324A"/>
                <w:sz w:val="17"/>
              </w:rPr>
              <w:t>Består</w:t>
            </w:r>
          </w:p>
        </w:tc>
        <w:tc>
          <w:tcPr>
            <w:tcW w:type="dxa" w:w="4032"/>
            <w:tcMar>
              <w:top w:w="90" w:type="dxa"/>
              <w:start w:w="120" w:type="dxa"/>
              <w:bottom w:w="90" w:type="dxa"/>
              <w:end w:w="120" w:type="dxa"/>
            </w:tcMar>
            <w:vAlign w:val="center"/>
          </w:tcPr>
          <w:p>
            <w:pPr>
              <w:shd w:fill="DCE6EB"/>
            </w:pPr>
            <w:r>
              <w:rPr>
                <w:b/>
                <w:color w:val="15324A"/>
                <w:sz w:val="17"/>
              </w:rPr>
              <w:t>Kræver omskrivning eller flytning</w:t>
            </w:r>
          </w:p>
        </w:tc>
      </w:tr>
      <w:tr>
        <w:tc>
          <w:tcPr>
            <w:tcW w:type="dxa" w:w="2376"/>
            <w:tcMar>
              <w:top w:w="90" w:type="dxa"/>
              <w:start w:w="120" w:type="dxa"/>
              <w:bottom w:w="90" w:type="dxa"/>
              <w:end w:w="120" w:type="dxa"/>
            </w:tcMar>
            <w:vAlign w:val="center"/>
          </w:tcPr>
          <w:p>
            <w:pPr>
              <w:spacing w:after="0" w:line="259" w:lineRule="auto"/>
            </w:pPr>
            <w:r>
              <w:rPr>
                <w:sz w:val="17"/>
              </w:rPr>
              <w:t>AI er langt bedre end mennesker</w:t>
            </w:r>
          </w:p>
        </w:tc>
        <w:tc>
          <w:tcPr>
            <w:tcW w:type="dxa" w:w="2952"/>
            <w:tcMar>
              <w:top w:w="90" w:type="dxa"/>
              <w:start w:w="120" w:type="dxa"/>
              <w:bottom w:w="90" w:type="dxa"/>
              <w:end w:w="120" w:type="dxa"/>
            </w:tcMar>
            <w:vAlign w:val="center"/>
          </w:tcPr>
          <w:p>
            <w:pPr>
              <w:spacing w:after="0" w:line="259" w:lineRule="auto"/>
            </w:pPr>
            <w:r>
              <w:rPr>
                <w:sz w:val="17"/>
              </w:rPr>
              <w:t>Alle otte ratificerede artikler</w:t>
            </w:r>
          </w:p>
        </w:tc>
        <w:tc>
          <w:tcPr>
            <w:tcW w:type="dxa" w:w="4032"/>
            <w:tcMar>
              <w:top w:w="90" w:type="dxa"/>
              <w:start w:w="120" w:type="dxa"/>
              <w:bottom w:w="90" w:type="dxa"/>
              <w:end w:w="120" w:type="dxa"/>
            </w:tcMar>
            <w:vAlign w:val="center"/>
          </w:tcPr>
          <w:p>
            <w:pPr>
              <w:spacing w:after="0" w:line="259" w:lineRule="auto"/>
            </w:pPr>
            <w:r>
              <w:rPr>
                <w:sz w:val="17"/>
              </w:rPr>
              <w:t>‘Lægen bestemmer altid’ falder; legitim myndighed og værdighed består</w:t>
            </w:r>
          </w:p>
        </w:tc>
      </w:tr>
      <w:tr>
        <w:tc>
          <w:tcPr>
            <w:tcW w:type="dxa" w:w="2376"/>
            <w:tcMar>
              <w:top w:w="90" w:type="dxa"/>
              <w:start w:w="120" w:type="dxa"/>
              <w:bottom w:w="90" w:type="dxa"/>
              <w:end w:w="120" w:type="dxa"/>
            </w:tcMar>
            <w:vAlign w:val="center"/>
          </w:tcPr>
          <w:p>
            <w:pPr>
              <w:shd w:fill="F7F9FA"/>
              <w:spacing w:after="0" w:line="259" w:lineRule="auto"/>
            </w:pPr>
            <w:r>
              <w:rPr>
                <w:sz w:val="17"/>
              </w:rPr>
              <w:t>AI er stærkt reguleret</w:t>
            </w:r>
          </w:p>
        </w:tc>
        <w:tc>
          <w:tcPr>
            <w:tcW w:type="dxa" w:w="2952"/>
            <w:tcMar>
              <w:top w:w="90" w:type="dxa"/>
              <w:start w:w="120" w:type="dxa"/>
              <w:bottom w:w="90" w:type="dxa"/>
              <w:end w:w="120" w:type="dxa"/>
            </w:tcMar>
            <w:vAlign w:val="center"/>
          </w:tcPr>
          <w:p>
            <w:pPr>
              <w:shd w:fill="F7F9FA"/>
              <w:spacing w:after="0" w:line="259" w:lineRule="auto"/>
            </w:pPr>
            <w:r>
              <w:rPr>
                <w:sz w:val="17"/>
              </w:rPr>
              <w:t>Alle otte</w:t>
            </w:r>
          </w:p>
        </w:tc>
        <w:tc>
          <w:tcPr>
            <w:tcW w:type="dxa" w:w="4032"/>
            <w:tcMar>
              <w:top w:w="90" w:type="dxa"/>
              <w:start w:w="120" w:type="dxa"/>
              <w:bottom w:w="90" w:type="dxa"/>
              <w:end w:w="120" w:type="dxa"/>
            </w:tcMar>
            <w:vAlign w:val="center"/>
          </w:tcPr>
          <w:p>
            <w:pPr>
              <w:shd w:fill="F7F9FA"/>
              <w:spacing w:after="0" w:line="259" w:lineRule="auto"/>
            </w:pPr>
            <w:r>
              <w:rPr>
                <w:sz w:val="17"/>
              </w:rPr>
              <w:t>Konkrete compliance-regler hører uden for Constitutionen</w:t>
            </w:r>
          </w:p>
        </w:tc>
      </w:tr>
      <w:tr>
        <w:tc>
          <w:tcPr>
            <w:tcW w:type="dxa" w:w="2376"/>
            <w:tcMar>
              <w:top w:w="90" w:type="dxa"/>
              <w:start w:w="120" w:type="dxa"/>
              <w:bottom w:w="90" w:type="dxa"/>
              <w:end w:w="120" w:type="dxa"/>
            </w:tcMar>
            <w:vAlign w:val="center"/>
          </w:tcPr>
          <w:p>
            <w:pPr>
              <w:spacing w:after="0" w:line="259" w:lineRule="auto"/>
            </w:pPr>
            <w:r>
              <w:rPr>
                <w:sz w:val="17"/>
              </w:rPr>
              <w:t>Journalsystemer er radikalt ændret</w:t>
            </w:r>
          </w:p>
        </w:tc>
        <w:tc>
          <w:tcPr>
            <w:tcW w:type="dxa" w:w="2952"/>
            <w:tcMar>
              <w:top w:w="90" w:type="dxa"/>
              <w:start w:w="120" w:type="dxa"/>
              <w:bottom w:w="90" w:type="dxa"/>
              <w:end w:w="120" w:type="dxa"/>
            </w:tcMar>
            <w:vAlign w:val="center"/>
          </w:tcPr>
          <w:p>
            <w:pPr>
              <w:spacing w:after="0" w:line="259" w:lineRule="auto"/>
            </w:pPr>
            <w:r>
              <w:rPr>
                <w:sz w:val="17"/>
              </w:rPr>
              <w:t>Alle otte</w:t>
            </w:r>
          </w:p>
        </w:tc>
        <w:tc>
          <w:tcPr>
            <w:tcW w:type="dxa" w:w="4032"/>
            <w:tcMar>
              <w:top w:w="90" w:type="dxa"/>
              <w:start w:w="120" w:type="dxa"/>
              <w:bottom w:w="90" w:type="dxa"/>
              <w:end w:w="120" w:type="dxa"/>
            </w:tcMar>
            <w:vAlign w:val="center"/>
          </w:tcPr>
          <w:p>
            <w:pPr>
              <w:spacing w:after="0" w:line="259" w:lineRule="auto"/>
            </w:pPr>
            <w:r>
              <w:rPr>
                <w:sz w:val="17"/>
              </w:rPr>
              <w:t>Journal- og dokumentmetaforer flyttes til historiske position papers</w:t>
            </w:r>
          </w:p>
        </w:tc>
      </w:tr>
      <w:tr>
        <w:tc>
          <w:tcPr>
            <w:tcW w:type="dxa" w:w="2376"/>
            <w:tcMar>
              <w:top w:w="90" w:type="dxa"/>
              <w:start w:w="120" w:type="dxa"/>
              <w:bottom w:w="90" w:type="dxa"/>
              <w:end w:w="120" w:type="dxa"/>
            </w:tcMar>
            <w:vAlign w:val="center"/>
          </w:tcPr>
          <w:p>
            <w:pPr>
              <w:shd w:fill="F7F9FA"/>
              <w:spacing w:after="0" w:line="259" w:lineRule="auto"/>
            </w:pPr>
            <w:r>
              <w:rPr>
                <w:sz w:val="17"/>
              </w:rPr>
              <w:t>Konsultationer er delvist virtuelle/asynkrone</w:t>
            </w:r>
          </w:p>
        </w:tc>
        <w:tc>
          <w:tcPr>
            <w:tcW w:type="dxa" w:w="2952"/>
            <w:tcMar>
              <w:top w:w="90" w:type="dxa"/>
              <w:start w:w="120" w:type="dxa"/>
              <w:bottom w:w="90" w:type="dxa"/>
              <w:end w:w="120" w:type="dxa"/>
            </w:tcMar>
            <w:vAlign w:val="center"/>
          </w:tcPr>
          <w:p>
            <w:pPr>
              <w:shd w:fill="F7F9FA"/>
              <w:spacing w:after="0" w:line="259" w:lineRule="auto"/>
            </w:pPr>
            <w:r>
              <w:rPr>
                <w:sz w:val="17"/>
              </w:rPr>
              <w:t>Alle otte</w:t>
            </w:r>
          </w:p>
        </w:tc>
        <w:tc>
          <w:tcPr>
            <w:tcW w:type="dxa" w:w="4032"/>
            <w:tcMar>
              <w:top w:w="90" w:type="dxa"/>
              <w:start w:w="120" w:type="dxa"/>
              <w:bottom w:w="90" w:type="dxa"/>
              <w:end w:w="120" w:type="dxa"/>
            </w:tcMar>
            <w:vAlign w:val="center"/>
          </w:tcPr>
          <w:p>
            <w:pPr>
              <w:shd w:fill="F7F9FA"/>
              <w:spacing w:after="0" w:line="259" w:lineRule="auto"/>
            </w:pPr>
            <w:r>
              <w:rPr>
                <w:sz w:val="17"/>
              </w:rPr>
              <w:t>‘Nærvær’ omskrives til relationel kvalitet og fælles forståelse</w:t>
            </w:r>
          </w:p>
        </w:tc>
      </w:tr>
      <w:tr>
        <w:tc>
          <w:tcPr>
            <w:tcW w:type="dxa" w:w="2376"/>
            <w:tcMar>
              <w:top w:w="90" w:type="dxa"/>
              <w:start w:w="120" w:type="dxa"/>
              <w:bottom w:w="90" w:type="dxa"/>
              <w:end w:w="120" w:type="dxa"/>
            </w:tcMar>
            <w:vAlign w:val="center"/>
          </w:tcPr>
          <w:p>
            <w:pPr>
              <w:spacing w:after="0" w:line="259" w:lineRule="auto"/>
            </w:pPr>
            <w:r>
              <w:rPr>
                <w:sz w:val="17"/>
              </w:rPr>
              <w:t>Arbejdsgange og professioner er ændret</w:t>
            </w:r>
          </w:p>
        </w:tc>
        <w:tc>
          <w:tcPr>
            <w:tcW w:type="dxa" w:w="2952"/>
            <w:tcMar>
              <w:top w:w="90" w:type="dxa"/>
              <w:start w:w="120" w:type="dxa"/>
              <w:bottom w:w="90" w:type="dxa"/>
              <w:end w:w="120" w:type="dxa"/>
            </w:tcMar>
            <w:vAlign w:val="center"/>
          </w:tcPr>
          <w:p>
            <w:pPr>
              <w:spacing w:after="0" w:line="259" w:lineRule="auto"/>
            </w:pPr>
            <w:r>
              <w:rPr>
                <w:sz w:val="17"/>
              </w:rPr>
              <w:t>Alle otte</w:t>
            </w:r>
          </w:p>
        </w:tc>
        <w:tc>
          <w:tcPr>
            <w:tcW w:type="dxa" w:w="4032"/>
            <w:tcMar>
              <w:top w:w="90" w:type="dxa"/>
              <w:start w:w="120" w:type="dxa"/>
              <w:bottom w:w="90" w:type="dxa"/>
              <w:end w:w="120" w:type="dxa"/>
            </w:tcMar>
            <w:vAlign w:val="center"/>
          </w:tcPr>
          <w:p>
            <w:pPr>
              <w:spacing w:after="0" w:line="259" w:lineRule="auto"/>
            </w:pPr>
            <w:r>
              <w:rPr>
                <w:sz w:val="17"/>
              </w:rPr>
              <w:t>Aktørnavne ændres; ansvar, subsidiaritet og systemisk retfærdighed består</w:t>
            </w:r>
          </w:p>
        </w:tc>
      </w:tr>
    </w:tbl>
    <w:p>
      <w:pPr>
        <w:spacing w:after="0"/>
      </w:pPr>
    </w:p>
    <w:p>
      <w:pPr>
        <w:pStyle w:val="Heading2"/>
      </w:pPr>
      <w:r>
        <w:t>Resultat</w:t>
      </w:r>
    </w:p>
    <w:p>
      <w:r>
        <w:rPr>
          <w:rFonts w:ascii="Calibri" w:hAnsi="Calibri"/>
          <w:i w:val="0"/>
          <w:sz w:val="22"/>
        </w:rPr>
        <w:t>Det afgørende tegn på tidløshed er, at artiklerne regulerer magt, viden, opmærksomhed, værdighed, læring og ansvar - ikke en bestemt brugerflade eller model. Stress testen forkaster dermed flere populære formuleringer, men ikke den foreslåede otteartiklers kerne.</w:t>
      </w:r>
    </w:p>
    <w:p>
      <w:r>
        <w:br w:type="page"/>
      </w:r>
    </w:p>
    <w:p>
      <w:pPr>
        <w:spacing w:after="60"/>
      </w:pPr>
      <w:r>
        <w:rPr>
          <w:b/>
          <w:color w:val="667085"/>
          <w:sz w:val="18"/>
        </w:rPr>
        <w:t>CORTEX CONSTITUTION V1.0 - KOMMISSIONSUDKAST</w:t>
      </w:r>
    </w:p>
    <w:p>
      <w:pPr>
        <w:pStyle w:val="Heading1"/>
      </w:pPr>
      <w:r>
        <w:t>Foreslået ratificeret tekst</w:t>
      </w:r>
    </w:p>
    <w:p>
      <w:pPr>
        <w:pStyle w:val="Heading2"/>
        <w:spacing w:before="100" w:after="40"/>
      </w:pPr>
      <w:r>
        <w:rPr>
          <w:sz w:val="23"/>
        </w:rPr>
        <w:t>Artikel 1 - Værdighed og formål</w:t>
      </w:r>
    </w:p>
    <w:p>
      <w:r>
        <w:rPr>
          <w:rFonts w:ascii="Calibri" w:hAnsi="Calibri"/>
          <w:i w:val="0"/>
          <w:sz w:val="22"/>
        </w:rPr>
        <w:t>Cortex skal tjene patientens mulighed for sikker, forståelig og individuelt relevant hjælp og må aldrig reducere mennesker til midler for tekniske, organisatoriske eller kommercielle mål.</w:t>
      </w:r>
    </w:p>
    <w:p>
      <w:pPr>
        <w:pStyle w:val="Heading2"/>
        <w:spacing w:before="100" w:after="40"/>
      </w:pPr>
      <w:r>
        <w:rPr>
          <w:sz w:val="23"/>
        </w:rPr>
        <w:t>Artikel 2 - Epistemisk integritet</w:t>
      </w:r>
    </w:p>
    <w:p>
      <w:r>
        <w:rPr>
          <w:rFonts w:ascii="Calibri" w:hAnsi="Calibri"/>
          <w:i w:val="0"/>
          <w:sz w:val="22"/>
        </w:rPr>
        <w:t>Cortex skal gøre kliniske påstandes grundlag, styrke, begrænsninger, uenighed og aktualitet rekonstruerbare og må ikke skjule relevant usikkerhed eller foregive viden, systemet ikke har.</w:t>
      </w:r>
    </w:p>
    <w:p>
      <w:pPr>
        <w:pStyle w:val="Heading2"/>
        <w:spacing w:before="100" w:after="40"/>
      </w:pPr>
      <w:r>
        <w:rPr>
          <w:sz w:val="23"/>
        </w:rPr>
        <w:t>Artikel 3 - Proportionalitet og opmærksomhed</w:t>
      </w:r>
    </w:p>
    <w:p>
      <w:r>
        <w:rPr>
          <w:rFonts w:ascii="Calibri" w:hAnsi="Calibri"/>
          <w:i w:val="0"/>
          <w:sz w:val="22"/>
        </w:rPr>
        <w:t>Cortex må kun kræve opmærksomhed, påføre friktion eller intervenere, når den forventede kliniske værdi står i rimeligt forhold til byrden og risikoen ved både handling og tavshed.</w:t>
      </w:r>
    </w:p>
    <w:p>
      <w:pPr>
        <w:pStyle w:val="Heading2"/>
        <w:spacing w:before="100" w:after="40"/>
      </w:pPr>
      <w:r>
        <w:rPr>
          <w:sz w:val="23"/>
        </w:rPr>
        <w:t>Artikel 4 - Legitim autonomi</w:t>
      </w:r>
    </w:p>
    <w:p>
      <w:r>
        <w:rPr>
          <w:rFonts w:ascii="Calibri" w:hAnsi="Calibri"/>
          <w:i w:val="0"/>
          <w:sz w:val="22"/>
        </w:rPr>
        <w:t>Klinisk beslutningsmagt må kun udøves eller delegeres, når aktør, kompetencegrænse, formål, ansvar og mulighed for rettidig menneskelig indgriben er eksplicitte. Beslutninger skal træffes på laveste kompetente og ansvarlige niveau.</w:t>
      </w:r>
    </w:p>
    <w:p>
      <w:pPr>
        <w:pStyle w:val="Heading2"/>
        <w:spacing w:before="100" w:after="40"/>
      </w:pPr>
      <w:r>
        <w:rPr>
          <w:sz w:val="23"/>
        </w:rPr>
        <w:t>Artikel 5 - Bestridelighed og reversibilitet</w:t>
      </w:r>
    </w:p>
    <w:p>
      <w:r>
        <w:rPr>
          <w:rFonts w:ascii="Calibri" w:hAnsi="Calibri"/>
          <w:i w:val="0"/>
          <w:sz w:val="22"/>
        </w:rPr>
        <w:t>Cortex’ påstande og handlinger skal kunne udfordres, korrigeres og, hvor muligt, tilbageføres uden urimelig friktion og uden tab af ansvarsspor.</w:t>
      </w:r>
    </w:p>
    <w:p>
      <w:pPr>
        <w:pStyle w:val="Heading2"/>
        <w:spacing w:before="100" w:after="40"/>
      </w:pPr>
      <w:r>
        <w:rPr>
          <w:sz w:val="23"/>
        </w:rPr>
        <w:t>Artikel 6 - Kompetence og læring</w:t>
      </w:r>
    </w:p>
    <w:p>
      <w:r>
        <w:rPr>
          <w:rFonts w:ascii="Calibri" w:hAnsi="Calibri"/>
          <w:i w:val="0"/>
          <w:sz w:val="22"/>
        </w:rPr>
        <w:t>Cortex må ikke systematisk erstatte den refleksion, som er nødvendig for at opretholde klinisk kompetence og uafhængig fejlgenkendelse, uden dokumenteret sikker kompensation.</w:t>
      </w:r>
    </w:p>
    <w:p>
      <w:pPr>
        <w:pStyle w:val="Heading2"/>
        <w:spacing w:before="100" w:after="40"/>
      </w:pPr>
      <w:r>
        <w:rPr>
          <w:sz w:val="23"/>
        </w:rPr>
        <w:t>Artikel 7 - Organisatorisk ansvar og retfærdighed</w:t>
      </w:r>
    </w:p>
    <w:p>
      <w:r>
        <w:rPr>
          <w:rFonts w:ascii="Calibri" w:hAnsi="Calibri"/>
          <w:i w:val="0"/>
          <w:sz w:val="22"/>
        </w:rPr>
        <w:t>Cortex skal vurderes på samlede konsekvenser for patientforløb, arbejdsfællesskab og berørte grupper og må ikke legitimere alvorlig systematisk ulighed eller flytte skjult byrde til andre aktører.</w:t>
      </w:r>
    </w:p>
    <w:p>
      <w:pPr>
        <w:pStyle w:val="Heading2"/>
        <w:spacing w:before="100" w:after="40"/>
      </w:pPr>
      <w:r>
        <w:rPr>
          <w:sz w:val="23"/>
        </w:rPr>
        <w:t>Artikel 8 - Livscyklusansvar</w:t>
      </w:r>
    </w:p>
    <w:p>
      <w:r>
        <w:rPr>
          <w:rFonts w:ascii="Calibri" w:hAnsi="Calibri"/>
          <w:i w:val="0"/>
          <w:sz w:val="22"/>
        </w:rPr>
        <w:t>Cortex skal gennem hele sin levetid kunne opdage, forklare, begrænse og korrigere skadelige effekter. Klinisk betydende ændringer, fejl og drift skal have identificeret ejer, responstid og mulighed for sikker begrænsning eller rollback.</w:t>
      </w:r>
    </w:p>
    <w:p>
      <w:pPr>
        <w:spacing w:before="100" w:after="180"/>
        <w:ind w:left="173" w:right="173"/>
        <w:shd w:fill="EEF3F6"/>
      </w:pPr>
      <w:r>
        <w:rPr>
          <w:b/>
          <w:color w:val="15324A"/>
        </w:rPr>
        <w:t xml:space="preserve">Fortolkningsregel: </w:t>
      </w:r>
      <w:r>
        <w:t>Ved konflikt prioriteres forebyggelse af alvorlig og uoprettelig skade, dernæst værdighed og legitim autonomi, dernæst epistemisk integritet og ansvar. Andre hensyn afvejes proportionalt. Afvigelser skal dokumenteres og kunne bestrides.</w:t>
      </w:r>
    </w:p>
    <w:p>
      <w:r>
        <w:br w:type="page"/>
      </w:r>
    </w:p>
    <w:p>
      <w:pPr>
        <w:spacing w:after="60"/>
      </w:pPr>
      <w:r>
        <w:rPr>
          <w:b/>
          <w:color w:val="667085"/>
          <w:sz w:val="18"/>
        </w:rPr>
        <w:t>GØR CONSTITUTIONEN SVÆR AT OMGÅ</w:t>
      </w:r>
    </w:p>
    <w:p>
      <w:pPr>
        <w:pStyle w:val="Heading1"/>
      </w:pPr>
      <w:r>
        <w:t>Ratificerings- og ændringsprocedure</w:t>
      </w:r>
    </w:p>
    <w:p>
      <w:pPr>
        <w:pStyle w:val="ListNumber"/>
        <w:spacing w:after="80" w:line="300" w:lineRule="auto"/>
      </w:pPr>
      <w:r>
        <w:t>Hver artikel ratificeres særskilt af et tværfagligt råd med klinisk, patientmæssig, etisk, teknisk og human-factors-repræsentation.</w:t>
      </w:r>
    </w:p>
    <w:p>
      <w:pPr>
        <w:pStyle w:val="ListNumber"/>
        <w:spacing w:after="80" w:line="300" w:lineRule="auto"/>
      </w:pPr>
      <w:r>
        <w:t>Ændring kræver offentlig begrundelse, dokumenteret problem, alternativer, risikovurdering og konsekvensanalyse for eksisterende ADR’er og produktkrav.</w:t>
      </w:r>
    </w:p>
    <w:p>
      <w:pPr>
        <w:pStyle w:val="ListNumber"/>
        <w:spacing w:after="80" w:line="300" w:lineRule="auto"/>
      </w:pPr>
      <w:r>
        <w:t>Ingen artikel kan suspenderes gennem et produktkrav eller en ADR. Midlertidig undtagelse kræver navngiven ejer, udløbsdato, overvågning og plan for normalisering.</w:t>
      </w:r>
    </w:p>
    <w:p>
      <w:pPr>
        <w:pStyle w:val="ListNumber"/>
        <w:spacing w:after="80" w:line="300" w:lineRule="auto"/>
      </w:pPr>
      <w:r>
        <w:t>Alle større use cases skal ved review dokumentere artikel-for-artikel efterlevelse og åbne konflikter.</w:t>
      </w:r>
    </w:p>
    <w:p>
      <w:pPr>
        <w:pStyle w:val="ListNumber"/>
        <w:spacing w:after="80" w:line="300" w:lineRule="auto"/>
      </w:pPr>
      <w:r>
        <w:t>Mindst hvert tredje år gennemføres en uafhængig forfatningsaudit baseret på faktiske hændelser, brugeradfærd, subgroup-effekter og kompetenceudvikling.</w:t>
      </w:r>
    </w:p>
    <w:p>
      <w:pPr>
        <w:pStyle w:val="ListNumber"/>
        <w:spacing w:after="80" w:line="300" w:lineRule="auto"/>
      </w:pPr>
      <w:r>
        <w:t>Ordlyden må ikke ændres blot for at passe til en ny teknologi. Først skal det dokumenteres, at den underliggende beskyttelsesfunktion har ændret sig.</w:t>
      </w:r>
    </w:p>
    <w:p>
      <w:pPr>
        <w:pStyle w:val="Heading2"/>
      </w:pPr>
      <w:r>
        <w:t>Anti-omgåelsesregel</w:t>
      </w:r>
    </w:p>
    <w:p>
      <w:r>
        <w:rPr>
          <w:rFonts w:ascii="Calibri" w:hAnsi="Calibri"/>
          <w:i w:val="0"/>
          <w:sz w:val="22"/>
        </w:rPr>
        <w:t>Efterlevelse bedømmes på systemets faktiske og forudsigelige virkninger, ikke alene på formelle brugerflows, ansvarsfraskrivelser eller muligheden for et sidste menneskeligt klik. Et system kan krænke Constitutionen gennem defaults, timing, informationsasymmetri, organisatoriske incitamenter eller kumulativ praksis, selv når hver enkelt handling formelt kan afvises.</w:t>
      </w:r>
    </w:p>
    <w:p>
      <w:r>
        <w:br w:type="page"/>
      </w:r>
    </w:p>
    <w:p>
      <w:pPr>
        <w:spacing w:after="60"/>
      </w:pPr>
      <w:r>
        <w:rPr>
          <w:b/>
          <w:color w:val="667085"/>
          <w:sz w:val="18"/>
        </w:rPr>
        <w:t>SCORE 1–10</w:t>
      </w:r>
    </w:p>
    <w:p>
      <w:pPr>
        <w:pStyle w:val="Heading1"/>
      </w:pPr>
      <w:r>
        <w:t>Samlet vurdering</w:t>
      </w:r>
    </w:p>
    <w:tbl>
      <w:tblPr>
        <w:tblW w:type="dxa" w:w="9360"/>
        <w:jc w:val="left"/>
        <w:tblLayout w:type="fixed"/>
        <w:tblLook w:firstColumn="1" w:firstRow="1" w:lastColumn="0" w:lastRow="0" w:noHBand="0" w:noVBand="1" w:val="04A0"/>
        <w:tblInd w:w="120" w:type="dxa"/>
      </w:tblPr>
      <w:tblGrid>
        <w:gridCol w:w="2376"/>
        <w:gridCol w:w="1224"/>
        <w:gridCol w:w="1800"/>
        <w:gridCol w:w="3960"/>
      </w:tblGrid>
      <w:tr>
        <w:trPr>
          <w:tblHeader/>
        </w:trPr>
        <w:tc>
          <w:tcPr>
            <w:tcW w:type="dxa" w:w="2376"/>
            <w:tcMar>
              <w:top w:w="90" w:type="dxa"/>
              <w:start w:w="120" w:type="dxa"/>
              <w:bottom w:w="90" w:type="dxa"/>
              <w:end w:w="120" w:type="dxa"/>
            </w:tcMar>
            <w:vAlign w:val="center"/>
          </w:tcPr>
          <w:p>
            <w:pPr>
              <w:shd w:fill="DCE6EB"/>
            </w:pPr>
            <w:r>
              <w:rPr>
                <w:b/>
                <w:color w:val="15324A"/>
                <w:sz w:val="16"/>
              </w:rPr>
              <w:t>Område</w:t>
            </w:r>
          </w:p>
        </w:tc>
        <w:tc>
          <w:tcPr>
            <w:tcW w:type="dxa" w:w="1224"/>
            <w:tcMar>
              <w:top w:w="90" w:type="dxa"/>
              <w:start w:w="120" w:type="dxa"/>
              <w:bottom w:w="90" w:type="dxa"/>
              <w:end w:w="120" w:type="dxa"/>
            </w:tcMar>
            <w:vAlign w:val="center"/>
          </w:tcPr>
          <w:p>
            <w:pPr>
              <w:shd w:fill="DCE6EB"/>
            </w:pPr>
            <w:r>
              <w:rPr>
                <w:b/>
                <w:color w:val="15324A"/>
                <w:sz w:val="16"/>
              </w:rPr>
              <w:t>Før ratificering</w:t>
            </w:r>
          </w:p>
        </w:tc>
        <w:tc>
          <w:tcPr>
            <w:tcW w:type="dxa" w:w="1800"/>
            <w:tcMar>
              <w:top w:w="90" w:type="dxa"/>
              <w:start w:w="120" w:type="dxa"/>
              <w:bottom w:w="90" w:type="dxa"/>
              <w:end w:w="120" w:type="dxa"/>
            </w:tcMar>
            <w:vAlign w:val="center"/>
          </w:tcPr>
          <w:p>
            <w:pPr>
              <w:shd w:fill="DCE6EB"/>
            </w:pPr>
            <w:r>
              <w:rPr>
                <w:b/>
                <w:color w:val="15324A"/>
                <w:sz w:val="16"/>
              </w:rPr>
              <w:t>Efter foreslået ratificering</w:t>
            </w:r>
          </w:p>
        </w:tc>
        <w:tc>
          <w:tcPr>
            <w:tcW w:type="dxa" w:w="3960"/>
            <w:tcMar>
              <w:top w:w="90" w:type="dxa"/>
              <w:start w:w="120" w:type="dxa"/>
              <w:bottom w:w="90" w:type="dxa"/>
              <w:end w:w="120" w:type="dxa"/>
            </w:tcMar>
            <w:vAlign w:val="center"/>
          </w:tcPr>
          <w:p>
            <w:pPr>
              <w:shd w:fill="DCE6EB"/>
            </w:pPr>
            <w:r>
              <w:rPr>
                <w:b/>
                <w:color w:val="15324A"/>
                <w:sz w:val="16"/>
              </w:rPr>
              <w:t>Begrundelse</w:t>
            </w:r>
          </w:p>
        </w:tc>
      </w:tr>
      <w:tr>
        <w:tc>
          <w:tcPr>
            <w:tcW w:type="dxa" w:w="2376"/>
            <w:tcMar>
              <w:top w:w="90" w:type="dxa"/>
              <w:start w:w="120" w:type="dxa"/>
              <w:bottom w:w="90" w:type="dxa"/>
              <w:end w:w="120" w:type="dxa"/>
            </w:tcMar>
            <w:vAlign w:val="center"/>
          </w:tcPr>
          <w:p>
            <w:pPr>
              <w:spacing w:after="0" w:line="259" w:lineRule="auto"/>
            </w:pPr>
            <w:r>
              <w:rPr>
                <w:sz w:val="16"/>
              </w:rPr>
              <w:t>Filosofisk robusthed</w:t>
            </w:r>
          </w:p>
        </w:tc>
        <w:tc>
          <w:tcPr>
            <w:tcW w:type="dxa" w:w="1224"/>
            <w:tcMar>
              <w:top w:w="90" w:type="dxa"/>
              <w:start w:w="120" w:type="dxa"/>
              <w:bottom w:w="90" w:type="dxa"/>
              <w:end w:w="120" w:type="dxa"/>
            </w:tcMar>
            <w:vAlign w:val="center"/>
          </w:tcPr>
          <w:p>
            <w:pPr>
              <w:spacing w:after="0" w:line="259" w:lineRule="auto"/>
            </w:pPr>
            <w:r>
              <w:rPr>
                <w:sz w:val="16"/>
              </w:rPr>
              <w:t>8</w:t>
            </w:r>
          </w:p>
        </w:tc>
        <w:tc>
          <w:tcPr>
            <w:tcW w:type="dxa" w:w="1800"/>
            <w:tcMar>
              <w:top w:w="90" w:type="dxa"/>
              <w:start w:w="120" w:type="dxa"/>
              <w:bottom w:w="90" w:type="dxa"/>
              <w:end w:w="120" w:type="dxa"/>
            </w:tcMar>
            <w:vAlign w:val="center"/>
          </w:tcPr>
          <w:p>
            <w:pPr>
              <w:spacing w:after="0" w:line="259" w:lineRule="auto"/>
            </w:pPr>
            <w:r>
              <w:rPr>
                <w:sz w:val="16"/>
              </w:rPr>
              <w:t>9</w:t>
            </w:r>
          </w:p>
        </w:tc>
        <w:tc>
          <w:tcPr>
            <w:tcW w:type="dxa" w:w="3960"/>
            <w:tcMar>
              <w:top w:w="90" w:type="dxa"/>
              <w:start w:w="120" w:type="dxa"/>
              <w:bottom w:w="90" w:type="dxa"/>
              <w:end w:w="120" w:type="dxa"/>
            </w:tcMar>
            <w:vAlign w:val="center"/>
          </w:tcPr>
          <w:p>
            <w:pPr>
              <w:spacing w:after="0" w:line="259" w:lineRule="auto"/>
            </w:pPr>
            <w:r>
              <w:rPr>
                <w:sz w:val="16"/>
              </w:rPr>
              <w:t>Grundværdierne var stærke; værdighed, proportionalitet og ansvarshierarki er nu eksplicitte.</w:t>
            </w:r>
          </w:p>
        </w:tc>
      </w:tr>
      <w:tr>
        <w:tc>
          <w:tcPr>
            <w:tcW w:type="dxa" w:w="2376"/>
            <w:tcMar>
              <w:top w:w="90" w:type="dxa"/>
              <w:start w:w="120" w:type="dxa"/>
              <w:bottom w:w="90" w:type="dxa"/>
              <w:end w:w="120" w:type="dxa"/>
            </w:tcMar>
            <w:vAlign w:val="center"/>
          </w:tcPr>
          <w:p>
            <w:pPr>
              <w:shd w:fill="F7F9FA"/>
              <w:spacing w:after="0" w:line="259" w:lineRule="auto"/>
            </w:pPr>
            <w:r>
              <w:rPr>
                <w:sz w:val="16"/>
              </w:rPr>
              <w:t>Logisk konsistens</w:t>
            </w:r>
          </w:p>
        </w:tc>
        <w:tc>
          <w:tcPr>
            <w:tcW w:type="dxa" w:w="1224"/>
            <w:tcMar>
              <w:top w:w="90" w:type="dxa"/>
              <w:start w:w="120" w:type="dxa"/>
              <w:bottom w:w="90" w:type="dxa"/>
              <w:end w:w="120" w:type="dxa"/>
            </w:tcMar>
            <w:vAlign w:val="center"/>
          </w:tcPr>
          <w:p>
            <w:pPr>
              <w:shd w:fill="F7F9FA"/>
              <w:spacing w:after="0" w:line="259" w:lineRule="auto"/>
            </w:pPr>
            <w:r>
              <w:rPr>
                <w:sz w:val="16"/>
              </w:rPr>
              <w:t>6</w:t>
            </w:r>
          </w:p>
        </w:tc>
        <w:tc>
          <w:tcPr>
            <w:tcW w:type="dxa" w:w="1800"/>
            <w:tcMar>
              <w:top w:w="90" w:type="dxa"/>
              <w:start w:w="120" w:type="dxa"/>
              <w:bottom w:w="90" w:type="dxa"/>
              <w:end w:w="120" w:type="dxa"/>
            </w:tcMar>
            <w:vAlign w:val="center"/>
          </w:tcPr>
          <w:p>
            <w:pPr>
              <w:shd w:fill="F7F9FA"/>
              <w:spacing w:after="0" w:line="259" w:lineRule="auto"/>
            </w:pPr>
            <w:r>
              <w:rPr>
                <w:sz w:val="16"/>
              </w:rPr>
              <w:t>9</w:t>
            </w:r>
          </w:p>
        </w:tc>
        <w:tc>
          <w:tcPr>
            <w:tcW w:type="dxa" w:w="3960"/>
            <w:tcMar>
              <w:top w:w="90" w:type="dxa"/>
              <w:start w:w="120" w:type="dxa"/>
              <w:bottom w:w="90" w:type="dxa"/>
              <w:end w:w="120" w:type="dxa"/>
            </w:tcMar>
            <w:vAlign w:val="center"/>
          </w:tcPr>
          <w:p>
            <w:pPr>
              <w:shd w:fill="F7F9FA"/>
              <w:spacing w:after="0" w:line="259" w:lineRule="auto"/>
            </w:pPr>
            <w:r>
              <w:rPr>
                <w:sz w:val="16"/>
              </w:rPr>
              <w:t>Overlap er reduceret, og spændinger er gjort til konfliktregler.</w:t>
            </w:r>
          </w:p>
        </w:tc>
      </w:tr>
      <w:tr>
        <w:tc>
          <w:tcPr>
            <w:tcW w:type="dxa" w:w="2376"/>
            <w:tcMar>
              <w:top w:w="90" w:type="dxa"/>
              <w:start w:w="120" w:type="dxa"/>
              <w:bottom w:w="90" w:type="dxa"/>
              <w:end w:w="120" w:type="dxa"/>
            </w:tcMar>
            <w:vAlign w:val="center"/>
          </w:tcPr>
          <w:p>
            <w:pPr>
              <w:spacing w:after="0" w:line="259" w:lineRule="auto"/>
            </w:pPr>
            <w:r>
              <w:rPr>
                <w:sz w:val="16"/>
              </w:rPr>
              <w:t>Klinisk anvendelighed</w:t>
            </w:r>
          </w:p>
        </w:tc>
        <w:tc>
          <w:tcPr>
            <w:tcW w:type="dxa" w:w="1224"/>
            <w:tcMar>
              <w:top w:w="90" w:type="dxa"/>
              <w:start w:w="120" w:type="dxa"/>
              <w:bottom w:w="90" w:type="dxa"/>
              <w:end w:w="120" w:type="dxa"/>
            </w:tcMar>
            <w:vAlign w:val="center"/>
          </w:tcPr>
          <w:p>
            <w:pPr>
              <w:spacing w:after="0" w:line="259" w:lineRule="auto"/>
            </w:pPr>
            <w:r>
              <w:rPr>
                <w:sz w:val="16"/>
              </w:rPr>
              <w:t>8</w:t>
            </w:r>
          </w:p>
        </w:tc>
        <w:tc>
          <w:tcPr>
            <w:tcW w:type="dxa" w:w="1800"/>
            <w:tcMar>
              <w:top w:w="90" w:type="dxa"/>
              <w:start w:w="120" w:type="dxa"/>
              <w:bottom w:w="90" w:type="dxa"/>
              <w:end w:w="120" w:type="dxa"/>
            </w:tcMar>
            <w:vAlign w:val="center"/>
          </w:tcPr>
          <w:p>
            <w:pPr>
              <w:spacing w:after="0" w:line="259" w:lineRule="auto"/>
            </w:pPr>
            <w:r>
              <w:rPr>
                <w:sz w:val="16"/>
              </w:rPr>
              <w:t>9</w:t>
            </w:r>
          </w:p>
        </w:tc>
        <w:tc>
          <w:tcPr>
            <w:tcW w:type="dxa" w:w="3960"/>
            <w:tcMar>
              <w:top w:w="90" w:type="dxa"/>
              <w:start w:w="120" w:type="dxa"/>
              <w:bottom w:w="90" w:type="dxa"/>
              <w:end w:w="120" w:type="dxa"/>
            </w:tcMar>
            <w:vAlign w:val="center"/>
          </w:tcPr>
          <w:p>
            <w:pPr>
              <w:spacing w:after="0" w:line="259" w:lineRule="auto"/>
            </w:pPr>
            <w:r>
              <w:rPr>
                <w:sz w:val="16"/>
              </w:rPr>
              <w:t>Principperne kan spores til design, arkitektur, krav og indikatorer.</w:t>
            </w:r>
          </w:p>
        </w:tc>
      </w:tr>
      <w:tr>
        <w:tc>
          <w:tcPr>
            <w:tcW w:type="dxa" w:w="2376"/>
            <w:tcMar>
              <w:top w:w="90" w:type="dxa"/>
              <w:start w:w="120" w:type="dxa"/>
              <w:bottom w:w="90" w:type="dxa"/>
              <w:end w:w="120" w:type="dxa"/>
            </w:tcMar>
            <w:vAlign w:val="center"/>
          </w:tcPr>
          <w:p>
            <w:pPr>
              <w:shd w:fill="F7F9FA"/>
              <w:spacing w:after="0" w:line="259" w:lineRule="auto"/>
            </w:pPr>
            <w:r>
              <w:rPr>
                <w:sz w:val="16"/>
              </w:rPr>
              <w:t>Teknologineutralitet</w:t>
            </w:r>
          </w:p>
        </w:tc>
        <w:tc>
          <w:tcPr>
            <w:tcW w:type="dxa" w:w="1224"/>
            <w:tcMar>
              <w:top w:w="90" w:type="dxa"/>
              <w:start w:w="120" w:type="dxa"/>
              <w:bottom w:w="90" w:type="dxa"/>
              <w:end w:w="120" w:type="dxa"/>
            </w:tcMar>
            <w:vAlign w:val="center"/>
          </w:tcPr>
          <w:p>
            <w:pPr>
              <w:shd w:fill="F7F9FA"/>
              <w:spacing w:after="0" w:line="259" w:lineRule="auto"/>
            </w:pPr>
            <w:r>
              <w:rPr>
                <w:sz w:val="16"/>
              </w:rPr>
              <w:t>7</w:t>
            </w:r>
          </w:p>
        </w:tc>
        <w:tc>
          <w:tcPr>
            <w:tcW w:type="dxa" w:w="1800"/>
            <w:tcMar>
              <w:top w:w="90" w:type="dxa"/>
              <w:start w:w="120" w:type="dxa"/>
              <w:bottom w:w="90" w:type="dxa"/>
              <w:end w:w="120" w:type="dxa"/>
            </w:tcMar>
            <w:vAlign w:val="center"/>
          </w:tcPr>
          <w:p>
            <w:pPr>
              <w:shd w:fill="F7F9FA"/>
              <w:spacing w:after="0" w:line="259" w:lineRule="auto"/>
            </w:pPr>
            <w:r>
              <w:rPr>
                <w:sz w:val="16"/>
              </w:rPr>
              <w:t>10</w:t>
            </w:r>
          </w:p>
        </w:tc>
        <w:tc>
          <w:tcPr>
            <w:tcW w:type="dxa" w:w="3960"/>
            <w:tcMar>
              <w:top w:w="90" w:type="dxa"/>
              <w:start w:w="120" w:type="dxa"/>
              <w:bottom w:w="90" w:type="dxa"/>
              <w:end w:w="120" w:type="dxa"/>
            </w:tcMar>
            <w:vAlign w:val="center"/>
          </w:tcPr>
          <w:p>
            <w:pPr>
              <w:shd w:fill="F7F9FA"/>
              <w:spacing w:after="0" w:line="259" w:lineRule="auto"/>
            </w:pPr>
            <w:r>
              <w:rPr>
                <w:sz w:val="16"/>
              </w:rPr>
              <w:t>Chatbot-, journal- og ‘AI erstatter lægen’-formuleringer er fjernet fra kernen.</w:t>
            </w:r>
          </w:p>
        </w:tc>
      </w:tr>
      <w:tr>
        <w:tc>
          <w:tcPr>
            <w:tcW w:type="dxa" w:w="2376"/>
            <w:tcMar>
              <w:top w:w="90" w:type="dxa"/>
              <w:start w:w="120" w:type="dxa"/>
              <w:bottom w:w="90" w:type="dxa"/>
              <w:end w:w="120" w:type="dxa"/>
            </w:tcMar>
            <w:vAlign w:val="center"/>
          </w:tcPr>
          <w:p>
            <w:pPr>
              <w:spacing w:after="0" w:line="259" w:lineRule="auto"/>
            </w:pPr>
            <w:r>
              <w:rPr>
                <w:sz w:val="16"/>
              </w:rPr>
              <w:t>Tidløshed</w:t>
            </w:r>
          </w:p>
        </w:tc>
        <w:tc>
          <w:tcPr>
            <w:tcW w:type="dxa" w:w="1224"/>
            <w:tcMar>
              <w:top w:w="90" w:type="dxa"/>
              <w:start w:w="120" w:type="dxa"/>
              <w:bottom w:w="90" w:type="dxa"/>
              <w:end w:w="120" w:type="dxa"/>
            </w:tcMar>
            <w:vAlign w:val="center"/>
          </w:tcPr>
          <w:p>
            <w:pPr>
              <w:spacing w:after="0" w:line="259" w:lineRule="auto"/>
            </w:pPr>
            <w:r>
              <w:rPr>
                <w:sz w:val="16"/>
              </w:rPr>
              <w:t>7</w:t>
            </w:r>
          </w:p>
        </w:tc>
        <w:tc>
          <w:tcPr>
            <w:tcW w:type="dxa" w:w="1800"/>
            <w:tcMar>
              <w:top w:w="90" w:type="dxa"/>
              <w:start w:w="120" w:type="dxa"/>
              <w:bottom w:w="90" w:type="dxa"/>
              <w:end w:w="120" w:type="dxa"/>
            </w:tcMar>
            <w:vAlign w:val="center"/>
          </w:tcPr>
          <w:p>
            <w:pPr>
              <w:spacing w:after="0" w:line="259" w:lineRule="auto"/>
            </w:pPr>
            <w:r>
              <w:rPr>
                <w:sz w:val="16"/>
              </w:rPr>
              <w:t>9</w:t>
            </w:r>
          </w:p>
        </w:tc>
        <w:tc>
          <w:tcPr>
            <w:tcW w:type="dxa" w:w="3960"/>
            <w:tcMar>
              <w:top w:w="90" w:type="dxa"/>
              <w:start w:w="120" w:type="dxa"/>
              <w:bottom w:w="90" w:type="dxa"/>
              <w:end w:w="120" w:type="dxa"/>
            </w:tcMar>
            <w:vAlign w:val="center"/>
          </w:tcPr>
          <w:p>
            <w:pPr>
              <w:spacing w:after="0" w:line="259" w:lineRule="auto"/>
            </w:pPr>
            <w:r>
              <w:rPr>
                <w:sz w:val="16"/>
              </w:rPr>
              <w:t>Artiklerne regulerer vedvarende menneskelige og institutionelle problemer.</w:t>
            </w:r>
          </w:p>
        </w:tc>
      </w:tr>
      <w:tr>
        <w:tc>
          <w:tcPr>
            <w:tcW w:type="dxa" w:w="2376"/>
            <w:tcMar>
              <w:top w:w="90" w:type="dxa"/>
              <w:start w:w="120" w:type="dxa"/>
              <w:bottom w:w="90" w:type="dxa"/>
              <w:end w:w="120" w:type="dxa"/>
            </w:tcMar>
            <w:vAlign w:val="center"/>
          </w:tcPr>
          <w:p>
            <w:pPr>
              <w:shd w:fill="F7F9FA"/>
              <w:spacing w:after="0" w:line="259" w:lineRule="auto"/>
            </w:pPr>
            <w:r>
              <w:rPr>
                <w:sz w:val="16"/>
              </w:rPr>
              <w:t>Styringskraft</w:t>
            </w:r>
          </w:p>
        </w:tc>
        <w:tc>
          <w:tcPr>
            <w:tcW w:type="dxa" w:w="1224"/>
            <w:tcMar>
              <w:top w:w="90" w:type="dxa"/>
              <w:start w:w="120" w:type="dxa"/>
              <w:bottom w:w="90" w:type="dxa"/>
              <w:end w:w="120" w:type="dxa"/>
            </w:tcMar>
            <w:vAlign w:val="center"/>
          </w:tcPr>
          <w:p>
            <w:pPr>
              <w:shd w:fill="F7F9FA"/>
              <w:spacing w:after="0" w:line="259" w:lineRule="auto"/>
            </w:pPr>
            <w:r>
              <w:rPr>
                <w:sz w:val="16"/>
              </w:rPr>
              <w:t>5</w:t>
            </w:r>
          </w:p>
        </w:tc>
        <w:tc>
          <w:tcPr>
            <w:tcW w:type="dxa" w:w="1800"/>
            <w:tcMar>
              <w:top w:w="90" w:type="dxa"/>
              <w:start w:w="120" w:type="dxa"/>
              <w:bottom w:w="90" w:type="dxa"/>
              <w:end w:w="120" w:type="dxa"/>
            </w:tcMar>
            <w:vAlign w:val="center"/>
          </w:tcPr>
          <w:p>
            <w:pPr>
              <w:shd w:fill="F7F9FA"/>
              <w:spacing w:after="0" w:line="259" w:lineRule="auto"/>
            </w:pPr>
            <w:r>
              <w:rPr>
                <w:sz w:val="16"/>
              </w:rPr>
              <w:t>9</w:t>
            </w:r>
          </w:p>
        </w:tc>
        <w:tc>
          <w:tcPr>
            <w:tcW w:type="dxa" w:w="3960"/>
            <w:tcMar>
              <w:top w:w="90" w:type="dxa"/>
              <w:start w:w="120" w:type="dxa"/>
              <w:bottom w:w="90" w:type="dxa"/>
              <w:end w:w="120" w:type="dxa"/>
            </w:tcMar>
            <w:vAlign w:val="center"/>
          </w:tcPr>
          <w:p>
            <w:pPr>
              <w:shd w:fill="F7F9FA"/>
              <w:spacing w:after="0" w:line="259" w:lineRule="auto"/>
            </w:pPr>
            <w:r>
              <w:rPr>
                <w:sz w:val="16"/>
              </w:rPr>
              <w:t>Nødvendighed, konfliktregler, anti-omgåelse og audit gør teksten beslutningsdygtig.</w:t>
            </w:r>
          </w:p>
        </w:tc>
      </w:tr>
    </w:tbl>
    <w:p>
      <w:pPr>
        <w:spacing w:after="0"/>
      </w:pPr>
    </w:p>
    <w:p>
      <w:pPr>
        <w:pStyle w:val="Heading2"/>
      </w:pPr>
      <w:r>
        <w:t>Endelig kommissionsvurdering</w:t>
      </w:r>
    </w:p>
    <w:p>
      <w:r>
        <w:rPr>
          <w:rFonts w:ascii="Calibri" w:hAnsi="Calibri"/>
          <w:i w:val="0"/>
          <w:sz w:val="22"/>
        </w:rPr>
        <w:t>Cortex-filosofien rummer en stærk og i dele original identitet, men manuskriptets mange erkendelser kan ikke alle bære forfatningsstatus. Den ratificerede kerne bør begrænses til de normer, der afgør, hvem systemet tjener, hvordan det må hævde viden, hvornår det må intervenere, hvem der må udøve magt, hvordan det kan korrigeres, hvilke menneskelige kapaciteter det skal beskytte, hvordan byrder fordeles, og hvem der bærer ansvar over tid.</w:t>
      </w:r>
    </w:p>
    <w:p>
      <w:r>
        <w:rPr>
          <w:rFonts w:ascii="Calibri" w:hAnsi="Calibri"/>
          <w:i w:val="0"/>
          <w:sz w:val="22"/>
        </w:rPr>
        <w:t>Kommissionen anbefaler ratificering af de otte omskrevne artikler som Cortex Constitution v1.0, betinget af en tværfaglig høring og etablering af de tilhørende position papers, ADR’er og auditprocedurer. Uden denne operative infrastruktur vil selv en god Constitution kunne reduceres til ceremoniel tekst.</w:t>
      </w:r>
    </w:p>
    <w:p>
      <w:pPr>
        <w:spacing w:before="100" w:after="180"/>
        <w:ind w:left="173" w:right="173"/>
        <w:shd w:fill="E6F4EA"/>
      </w:pPr>
      <w:r>
        <w:rPr>
          <w:b/>
          <w:color w:val="216E39"/>
        </w:rPr>
        <w:t xml:space="preserve">Samlet dom: </w:t>
      </w:r>
      <w:r>
        <w:t>Ratificér otte artikler efter omskrivning. Flyt fire afledte principper til position papers. Bevar den essayistiske filosofi som fortolkningshistorie, men lad den ikke konkurrere med Constitutionens normative hierarki.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7"/>
      </w:rPr>
      <w:t>CORTEX  ·  RATIFICERINGSBETÆNKNING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5324A"/>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C607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2F6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line="240" w:lineRule="auto"/>
    </w:pPr>
    <w:rPr>
      <w:rFonts w:asciiTheme="majorHAnsi" w:eastAsiaTheme="majorEastAsia" w:hAnsiTheme="majorHAnsi" w:cstheme="majorBidi" w:ascii="Calibri" w:hAnsi="Calibri"/>
      <w:b w:val="0"/>
      <w:i/>
      <w:iCs/>
      <w:color w:val="2C60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Ratificeringsbetænkning - Cortex Constitution</dc:title>
  <dc:subject>Uafhængig prøvelse af permanente principper</dc:subject>
  <dc:creator>python-docx</dc:creator>
  <cp:keywords/>
  <dc:description>Kommissionsudkast, juli 2026.</dc:description>
  <cp:lastModifiedBy/>
  <cp:revision>1</cp:revision>
  <dcterms:created xsi:type="dcterms:W3CDTF">2013-12-23T23:15:00Z</dcterms:created>
  <dcterms:modified xsi:type="dcterms:W3CDTF">2013-12-23T23:15:00Z</dcterms:modified>
  <cp:category/>
</cp:coreProperties>
</file>