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80"/>
        <w:jc w:val="center"/>
      </w:pPr>
      <w:r>
        <w:rPr>
          <w:b/>
          <w:color w:val="8A6400"/>
          <w:sz w:val="20"/>
        </w:rPr>
        <w:t>NORMATIVT RAMMEVÆRK</w:t>
      </w:r>
    </w:p>
    <w:p>
      <w:pPr>
        <w:pStyle w:val="Title"/>
        <w:jc w:val="center"/>
      </w:pPr>
      <w:r>
        <w:t>Cortex Governance Framework v1.0</w:t>
      </w:r>
    </w:p>
    <w:p>
      <w:pPr>
        <w:pStyle w:val="Subtitle"/>
        <w:jc w:val="center"/>
      </w:pPr>
      <w:r>
        <w:t>Det samlede operating system for filosofi, beslutninger, arkitektur, produkt og læring</w:t>
      </w:r>
    </w:p>
    <w:p>
      <w:pPr>
        <w:spacing w:after="680"/>
        <w:jc w:val="center"/>
      </w:pPr>
      <w:r>
        <w:t>Status: Foundational · Gyldig fra ratificering · Planlagt hovedreview: hvert tredje år</w:t>
      </w:r>
    </w:p>
    <w:p>
      <w:pPr>
        <w:spacing w:before="100" w:after="180"/>
        <w:ind w:left="173" w:right="173"/>
        <w:shd w:fill="EEF3F6"/>
      </w:pPr>
      <w:r>
        <w:rPr>
          <w:b/>
          <w:color w:val="15324A"/>
        </w:rPr>
        <w:t xml:space="preserve">Normativ status: </w:t>
      </w:r>
      <w:r>
        <w:t>Dette dokument definerer dokumenthierarki, beslutningsrettigheder, ratificering, ændringskontrol og sporbarhed for Cortex. Underliggende artefakter må ikke fravige rammeværket uden en godkendt undtagelse.</w:t>
      </w:r>
    </w:p>
    <w:p>
      <w:r>
        <w:br w:type="page"/>
      </w:r>
    </w:p>
    <w:p>
      <w:pPr>
        <w:spacing w:after="60"/>
      </w:pPr>
      <w:r>
        <w:rPr>
          <w:b/>
          <w:color w:val="667085"/>
          <w:sz w:val="18"/>
        </w:rPr>
        <w:t>RAMMEVÆRKET PÅ ÉN SIDE</w:t>
      </w:r>
    </w:p>
    <w:p>
      <w:pPr>
        <w:pStyle w:val="Heading1"/>
      </w:pPr>
      <w:r>
        <w:t>0. Executive rules</w:t>
      </w:r>
    </w:p>
    <w:p>
      <w:pPr>
        <w:pStyle w:val="ListNumber"/>
        <w:spacing w:after="80" w:line="300" w:lineRule="auto"/>
      </w:pPr>
      <w:r>
        <w:t>Constitutionen har højeste normativ rang. Ingen underliggende beslutning må modsige den.</w:t>
      </w:r>
    </w:p>
    <w:p>
      <w:pPr>
        <w:pStyle w:val="ListNumber"/>
        <w:spacing w:after="80" w:line="300" w:lineRule="auto"/>
      </w:pPr>
      <w:r>
        <w:t>Alle væsentlige produktbeslutninger skal have en ubrudt sporbarhedskæde fra problem og evidens til implementering og evaluering.</w:t>
      </w:r>
    </w:p>
    <w:p>
      <w:pPr>
        <w:pStyle w:val="ListNumber"/>
        <w:spacing w:after="80" w:line="300" w:lineRule="auto"/>
      </w:pPr>
      <w:r>
        <w:t>Argumenter hører i Position Papers; generelle interaktionsregler i Design Principles; tekniske trade-offs i ADR’er; målbar adfærd i Product Requirements.</w:t>
      </w:r>
    </w:p>
    <w:p>
      <w:pPr>
        <w:pStyle w:val="ListNumber"/>
        <w:spacing w:after="80" w:line="300" w:lineRule="auto"/>
      </w:pPr>
      <w:r>
        <w:t>Højrisiko-use cases kræver en Clinical Safety Case og en Evaluation Protocol før release.</w:t>
      </w:r>
    </w:p>
    <w:p>
      <w:pPr>
        <w:pStyle w:val="ListNumber"/>
        <w:spacing w:after="80" w:line="300" w:lineRule="auto"/>
      </w:pPr>
      <w:r>
        <w:t>Release kræver et Release Dossier, der dokumenterer efterlevelse, residualrisiko, monitorering, ejerskab og rollback.</w:t>
      </w:r>
    </w:p>
    <w:p>
      <w:pPr>
        <w:pStyle w:val="ListNumber"/>
        <w:spacing w:after="80" w:line="300" w:lineRule="auto"/>
      </w:pPr>
      <w:r>
        <w:t>Faktiske hændelser og drift skal kunne ændre krav, ADR’er, principper og i sjældne tilfælde Constitutionen gennem en kontrolleret revisionssløjfe.</w:t>
      </w:r>
    </w:p>
    <w:p>
      <w:pPr>
        <w:pStyle w:val="ListNumber"/>
        <w:spacing w:after="80" w:line="300" w:lineRule="auto"/>
      </w:pPr>
      <w:r>
        <w:t>Lavere artefakter må præcisere højere artefakter, men aldrig omfortolke dem for at legitimere en ønsket løsning.</w:t>
      </w:r>
    </w:p>
    <w:p>
      <w:pPr>
        <w:pStyle w:val="ListNumber"/>
        <w:spacing w:after="80" w:line="300" w:lineRule="auto"/>
      </w:pPr>
      <w:r>
        <w:t>Efterlevelse vurderes på reelle og forudsigelige effekter - ikke alene på formelle klik, disclaimers eller dokumenttilstedeværelse.</w:t>
      </w:r>
    </w:p>
    <w:p>
      <w:pPr>
        <w:spacing w:before="100" w:after="180"/>
        <w:ind w:left="173" w:right="173"/>
        <w:shd w:fill="E6F4EA"/>
      </w:pPr>
      <w:r>
        <w:rPr>
          <w:b/>
          <w:color w:val="216E39"/>
        </w:rPr>
        <w:t xml:space="preserve">Framework invariant: </w:t>
      </w:r>
      <w:r>
        <w:t>Ingen klinisk betydende funktion må eksistere uden identificerbart formål, normativ forankring, beslutningsrationale, testbare krav, evaluering og ansvarlig ejer.</w:t>
      </w:r>
    </w:p>
    <w:p>
      <w:r>
        <w:br w:type="page"/>
      </w:r>
    </w:p>
    <w:p>
      <w:pPr>
        <w:spacing w:after="60"/>
      </w:pPr>
      <w:r>
        <w:rPr>
          <w:b/>
          <w:color w:val="667085"/>
          <w:sz w:val="18"/>
        </w:rPr>
        <w:t>GRUNDLAG</w:t>
      </w:r>
    </w:p>
    <w:p>
      <w:pPr>
        <w:pStyle w:val="Heading1"/>
      </w:pPr>
      <w:r>
        <w:t>1. Formål, scope og normativt sprog</w:t>
      </w:r>
    </w:p>
    <w:p>
      <w:pPr>
        <w:pStyle w:val="Heading2"/>
      </w:pPr>
      <w:r>
        <w:t>Formål</w:t>
      </w:r>
    </w:p>
    <w:p>
      <w:r>
        <w:rPr>
          <w:rFonts w:ascii="Calibri" w:hAnsi="Calibri"/>
          <w:i w:val="0"/>
          <w:sz w:val="22"/>
        </w:rPr>
        <w:t>Frameworket skal gøre Cortex i stand til at bevare identitet og ansvar gennem ændringer i teknologi, klinisk praksis, organisation og regulering. Det styrer ikke kun dokumenter; det styrer, hvordan projektet ved, beslutter, bygger, evaluerer og lærer.</w:t>
      </w:r>
    </w:p>
    <w:p>
      <w:pPr>
        <w:pStyle w:val="Heading2"/>
      </w:pPr>
      <w:r>
        <w:t>Scope</w:t>
      </w:r>
    </w:p>
    <w:p>
      <w:pPr>
        <w:pStyle w:val="ListBullet"/>
        <w:spacing w:after="80" w:line="300" w:lineRule="auto"/>
      </w:pPr>
      <w:r>
        <w:t>Filosofiske og etiske principper.</w:t>
      </w:r>
    </w:p>
    <w:p>
      <w:pPr>
        <w:pStyle w:val="ListBullet"/>
        <w:spacing w:after="80" w:line="300" w:lineRule="auto"/>
      </w:pPr>
      <w:r>
        <w:t>Kliniske, designmæssige og arkitektoniske beslutninger.</w:t>
      </w:r>
    </w:p>
    <w:p>
      <w:pPr>
        <w:pStyle w:val="ListBullet"/>
        <w:spacing w:after="80" w:line="300" w:lineRule="auto"/>
      </w:pPr>
      <w:r>
        <w:t>Produktkrav, release og post-market-overvågning.</w:t>
      </w:r>
    </w:p>
    <w:p>
      <w:pPr>
        <w:pStyle w:val="ListBullet"/>
        <w:spacing w:after="80" w:line="300" w:lineRule="auto"/>
      </w:pPr>
      <w:r>
        <w:t>Forskning, evidensstyring og hændelseslæring.</w:t>
      </w:r>
    </w:p>
    <w:p>
      <w:pPr>
        <w:pStyle w:val="ListBullet"/>
        <w:spacing w:after="80" w:line="300" w:lineRule="auto"/>
      </w:pPr>
      <w:r>
        <w:t>Organisatoriske roller, beslutningsrettigheder og konflikter.</w:t>
      </w:r>
    </w:p>
    <w:p>
      <w:pPr>
        <w:pStyle w:val="Heading2"/>
      </w:pPr>
      <w:r>
        <w:t>Normative nøgleord</w:t>
      </w:r>
    </w:p>
    <w:tbl>
      <w:tblPr>
        <w:tblW w:type="dxa" w:w="9360"/>
        <w:jc w:val="left"/>
        <w:tblLayout w:type="fixed"/>
        <w:tblLook w:firstColumn="1" w:firstRow="1" w:lastColumn="0" w:lastRow="0" w:noHBand="0" w:noVBand="1" w:val="04A0"/>
        <w:tblInd w:w="120" w:type="dxa"/>
      </w:tblPr>
      <w:tblGrid>
        <w:gridCol w:w="1872"/>
        <w:gridCol w:w="7488"/>
      </w:tblGrid>
      <w:tr>
        <w:trPr>
          <w:tblHeader/>
        </w:trPr>
        <w:tc>
          <w:tcPr>
            <w:tcW w:type="dxa" w:w="1872"/>
            <w:tcMar>
              <w:top w:w="90" w:type="dxa"/>
              <w:start w:w="120" w:type="dxa"/>
              <w:bottom w:w="90" w:type="dxa"/>
              <w:end w:w="120" w:type="dxa"/>
            </w:tcMar>
            <w:vAlign w:val="center"/>
          </w:tcPr>
          <w:p>
            <w:pPr>
              <w:shd w:fill="DCE6EB"/>
            </w:pPr>
            <w:r>
              <w:rPr>
                <w:b/>
                <w:color w:val="15324A"/>
                <w:sz w:val="17"/>
              </w:rPr>
              <w:t>Ord</w:t>
            </w:r>
          </w:p>
        </w:tc>
        <w:tc>
          <w:tcPr>
            <w:tcW w:type="dxa" w:w="7488"/>
            <w:tcMar>
              <w:top w:w="90" w:type="dxa"/>
              <w:start w:w="120" w:type="dxa"/>
              <w:bottom w:w="90" w:type="dxa"/>
              <w:end w:w="120" w:type="dxa"/>
            </w:tcMar>
            <w:vAlign w:val="center"/>
          </w:tcPr>
          <w:p>
            <w:pPr>
              <w:shd w:fill="DCE6EB"/>
            </w:pPr>
            <w:r>
              <w:rPr>
                <w:b/>
                <w:color w:val="15324A"/>
                <w:sz w:val="17"/>
              </w:rPr>
              <w:t>Betydning</w:t>
            </w:r>
          </w:p>
        </w:tc>
      </w:tr>
      <w:tr>
        <w:tc>
          <w:tcPr>
            <w:tcW w:type="dxa" w:w="1872"/>
            <w:tcMar>
              <w:top w:w="90" w:type="dxa"/>
              <w:start w:w="120" w:type="dxa"/>
              <w:bottom w:w="90" w:type="dxa"/>
              <w:end w:w="120" w:type="dxa"/>
            </w:tcMar>
            <w:vAlign w:val="center"/>
          </w:tcPr>
          <w:p>
            <w:pPr>
              <w:spacing w:after="0" w:line="259" w:lineRule="auto"/>
            </w:pPr>
            <w:r>
              <w:rPr>
                <w:sz w:val="17"/>
              </w:rPr>
              <w:t>SKAL / MÅ IKKE</w:t>
            </w:r>
          </w:p>
        </w:tc>
        <w:tc>
          <w:tcPr>
            <w:tcW w:type="dxa" w:w="7488"/>
            <w:tcMar>
              <w:top w:w="90" w:type="dxa"/>
              <w:start w:w="120" w:type="dxa"/>
              <w:bottom w:w="90" w:type="dxa"/>
              <w:end w:w="120" w:type="dxa"/>
            </w:tcMar>
            <w:vAlign w:val="center"/>
          </w:tcPr>
          <w:p>
            <w:pPr>
              <w:spacing w:after="0" w:line="259" w:lineRule="auto"/>
            </w:pPr>
            <w:r>
              <w:rPr>
                <w:sz w:val="17"/>
              </w:rPr>
              <w:t>Obligatorisk. Afvigelse kræver formel undtagelse, hvis undtagelser overhovedet er tilladt.</w:t>
            </w:r>
          </w:p>
        </w:tc>
      </w:tr>
      <w:tr>
        <w:tc>
          <w:tcPr>
            <w:tcW w:type="dxa" w:w="1872"/>
            <w:tcMar>
              <w:top w:w="90" w:type="dxa"/>
              <w:start w:w="120" w:type="dxa"/>
              <w:bottom w:w="90" w:type="dxa"/>
              <w:end w:w="120" w:type="dxa"/>
            </w:tcMar>
            <w:vAlign w:val="center"/>
          </w:tcPr>
          <w:p>
            <w:pPr>
              <w:shd w:fill="F7F9FA"/>
              <w:spacing w:after="0" w:line="259" w:lineRule="auto"/>
            </w:pPr>
            <w:r>
              <w:rPr>
                <w:sz w:val="17"/>
              </w:rPr>
              <w:t>BØR / BØR IKKE</w:t>
            </w:r>
          </w:p>
        </w:tc>
        <w:tc>
          <w:tcPr>
            <w:tcW w:type="dxa" w:w="7488"/>
            <w:tcMar>
              <w:top w:w="90" w:type="dxa"/>
              <w:start w:w="120" w:type="dxa"/>
              <w:bottom w:w="90" w:type="dxa"/>
              <w:end w:w="120" w:type="dxa"/>
            </w:tcMar>
            <w:vAlign w:val="center"/>
          </w:tcPr>
          <w:p>
            <w:pPr>
              <w:shd w:fill="F7F9FA"/>
              <w:spacing w:after="0" w:line="259" w:lineRule="auto"/>
            </w:pPr>
            <w:r>
              <w:rPr>
                <w:sz w:val="17"/>
              </w:rPr>
              <w:t>Forventet praksis. Afvigelse kræver dokumenteret rationale i relevant artefakt.</w:t>
            </w:r>
          </w:p>
        </w:tc>
      </w:tr>
      <w:tr>
        <w:tc>
          <w:tcPr>
            <w:tcW w:type="dxa" w:w="1872"/>
            <w:tcMar>
              <w:top w:w="90" w:type="dxa"/>
              <w:start w:w="120" w:type="dxa"/>
              <w:bottom w:w="90" w:type="dxa"/>
              <w:end w:w="120" w:type="dxa"/>
            </w:tcMar>
            <w:vAlign w:val="center"/>
          </w:tcPr>
          <w:p>
            <w:pPr>
              <w:spacing w:after="0" w:line="259" w:lineRule="auto"/>
            </w:pPr>
            <w:r>
              <w:rPr>
                <w:sz w:val="17"/>
              </w:rPr>
              <w:t>KAN</w:t>
            </w:r>
          </w:p>
        </w:tc>
        <w:tc>
          <w:tcPr>
            <w:tcW w:type="dxa" w:w="7488"/>
            <w:tcMar>
              <w:top w:w="90" w:type="dxa"/>
              <w:start w:w="120" w:type="dxa"/>
              <w:bottom w:w="90" w:type="dxa"/>
              <w:end w:w="120" w:type="dxa"/>
            </w:tcMar>
            <w:vAlign w:val="center"/>
          </w:tcPr>
          <w:p>
            <w:pPr>
              <w:spacing w:after="0" w:line="259" w:lineRule="auto"/>
            </w:pPr>
            <w:r>
              <w:rPr>
                <w:sz w:val="17"/>
              </w:rPr>
              <w:t>Tilladt mulighed uden normativ præference.</w:t>
            </w:r>
          </w:p>
        </w:tc>
      </w:tr>
      <w:tr>
        <w:tc>
          <w:tcPr>
            <w:tcW w:type="dxa" w:w="1872"/>
            <w:tcMar>
              <w:top w:w="90" w:type="dxa"/>
              <w:start w:w="120" w:type="dxa"/>
              <w:bottom w:w="90" w:type="dxa"/>
              <w:end w:w="120" w:type="dxa"/>
            </w:tcMar>
            <w:vAlign w:val="center"/>
          </w:tcPr>
          <w:p>
            <w:pPr>
              <w:shd w:fill="F7F9FA"/>
              <w:spacing w:after="0" w:line="259" w:lineRule="auto"/>
            </w:pPr>
            <w:r>
              <w:rPr>
                <w:sz w:val="17"/>
              </w:rPr>
              <w:t>UFRAVIGELIG</w:t>
            </w:r>
          </w:p>
        </w:tc>
        <w:tc>
          <w:tcPr>
            <w:tcW w:type="dxa" w:w="7488"/>
            <w:tcMar>
              <w:top w:w="90" w:type="dxa"/>
              <w:start w:w="120" w:type="dxa"/>
              <w:bottom w:w="90" w:type="dxa"/>
              <w:end w:w="120" w:type="dxa"/>
            </w:tcMar>
            <w:vAlign w:val="center"/>
          </w:tcPr>
          <w:p>
            <w:pPr>
              <w:shd w:fill="F7F9FA"/>
              <w:spacing w:after="0" w:line="259" w:lineRule="auto"/>
            </w:pPr>
            <w:r>
              <w:rPr>
                <w:sz w:val="17"/>
              </w:rPr>
              <w:t>Ingen undtagelse på lavere niveau; kun ændring af den styrende norm kan legitimere afvigelse.</w:t>
            </w:r>
          </w:p>
        </w:tc>
      </w:tr>
    </w:tbl>
    <w:p>
      <w:pPr>
        <w:spacing w:after="0"/>
      </w:pPr>
    </w:p>
    <w:p>
      <w:r>
        <w:br w:type="page"/>
      </w:r>
    </w:p>
    <w:p>
      <w:pPr>
        <w:spacing w:after="60"/>
      </w:pPr>
      <w:r>
        <w:rPr>
          <w:b/>
          <w:color w:val="667085"/>
          <w:sz w:val="18"/>
        </w:rPr>
        <w:t>DOKUMENTFAMILIEN</w:t>
      </w:r>
    </w:p>
    <w:p>
      <w:pPr>
        <w:pStyle w:val="Heading1"/>
      </w:pPr>
      <w:r>
        <w:t>2. Governance-arkitekturen</w:t>
      </w:r>
    </w:p>
    <w:tbl>
      <w:tblPr>
        <w:tblW w:type="dxa" w:w="9360"/>
        <w:jc w:val="left"/>
        <w:tblLayout w:type="fixed"/>
        <w:tblLook w:firstColumn="1" w:firstRow="1" w:lastColumn="0" w:lastRow="0" w:noHBand="0" w:noVBand="1" w:val="04A0"/>
        <w:tblInd w:w="120" w:type="dxa"/>
      </w:tblPr>
      <w:tblGrid>
        <w:gridCol w:w="792"/>
        <w:gridCol w:w="2520"/>
        <w:gridCol w:w="4104"/>
        <w:gridCol w:w="1944"/>
      </w:tblGrid>
      <w:tr>
        <w:trPr>
          <w:tblHeader/>
        </w:trPr>
        <w:tc>
          <w:tcPr>
            <w:tcW w:type="dxa" w:w="792"/>
            <w:tcMar>
              <w:top w:w="90" w:type="dxa"/>
              <w:start w:w="120" w:type="dxa"/>
              <w:bottom w:w="90" w:type="dxa"/>
              <w:end w:w="120" w:type="dxa"/>
            </w:tcMar>
            <w:vAlign w:val="center"/>
          </w:tcPr>
          <w:p>
            <w:pPr>
              <w:shd w:fill="DCE6EB"/>
            </w:pPr>
            <w:r>
              <w:rPr>
                <w:b/>
                <w:color w:val="15324A"/>
                <w:sz w:val="16"/>
              </w:rPr>
              <w:t>Kode</w:t>
            </w:r>
          </w:p>
        </w:tc>
        <w:tc>
          <w:tcPr>
            <w:tcW w:type="dxa" w:w="2520"/>
            <w:tcMar>
              <w:top w:w="90" w:type="dxa"/>
              <w:start w:w="120" w:type="dxa"/>
              <w:bottom w:w="90" w:type="dxa"/>
              <w:end w:w="120" w:type="dxa"/>
            </w:tcMar>
            <w:vAlign w:val="center"/>
          </w:tcPr>
          <w:p>
            <w:pPr>
              <w:shd w:fill="DCE6EB"/>
            </w:pPr>
            <w:r>
              <w:rPr>
                <w:b/>
                <w:color w:val="15324A"/>
                <w:sz w:val="16"/>
              </w:rPr>
              <w:t>Dokumenttype</w:t>
            </w:r>
          </w:p>
        </w:tc>
        <w:tc>
          <w:tcPr>
            <w:tcW w:type="dxa" w:w="4104"/>
            <w:tcMar>
              <w:top w:w="90" w:type="dxa"/>
              <w:start w:w="120" w:type="dxa"/>
              <w:bottom w:w="90" w:type="dxa"/>
              <w:end w:w="120" w:type="dxa"/>
            </w:tcMar>
            <w:vAlign w:val="center"/>
          </w:tcPr>
          <w:p>
            <w:pPr>
              <w:shd w:fill="DCE6EB"/>
            </w:pPr>
            <w:r>
              <w:rPr>
                <w:b/>
                <w:color w:val="15324A"/>
                <w:sz w:val="16"/>
              </w:rPr>
              <w:t>Primær funktion</w:t>
            </w:r>
          </w:p>
        </w:tc>
        <w:tc>
          <w:tcPr>
            <w:tcW w:type="dxa" w:w="1944"/>
            <w:tcMar>
              <w:top w:w="90" w:type="dxa"/>
              <w:start w:w="120" w:type="dxa"/>
              <w:bottom w:w="90" w:type="dxa"/>
              <w:end w:w="120" w:type="dxa"/>
            </w:tcMar>
            <w:vAlign w:val="center"/>
          </w:tcPr>
          <w:p>
            <w:pPr>
              <w:shd w:fill="DCE6EB"/>
            </w:pPr>
            <w:r>
              <w:rPr>
                <w:b/>
                <w:color w:val="15324A"/>
                <w:sz w:val="16"/>
              </w:rPr>
              <w:t>Normativ kraft</w:t>
            </w:r>
          </w:p>
        </w:tc>
      </w:tr>
      <w:tr>
        <w:tc>
          <w:tcPr>
            <w:tcW w:type="dxa" w:w="792"/>
            <w:tcMar>
              <w:top w:w="90" w:type="dxa"/>
              <w:start w:w="120" w:type="dxa"/>
              <w:bottom w:w="90" w:type="dxa"/>
              <w:end w:w="120" w:type="dxa"/>
            </w:tcMar>
            <w:vAlign w:val="center"/>
          </w:tcPr>
          <w:p>
            <w:pPr>
              <w:spacing w:after="0" w:line="259" w:lineRule="auto"/>
            </w:pPr>
            <w:r>
              <w:rPr>
                <w:sz w:val="16"/>
              </w:rPr>
              <w:t>CON</w:t>
            </w:r>
          </w:p>
        </w:tc>
        <w:tc>
          <w:tcPr>
            <w:tcW w:type="dxa" w:w="2520"/>
            <w:tcMar>
              <w:top w:w="90" w:type="dxa"/>
              <w:start w:w="120" w:type="dxa"/>
              <w:bottom w:w="90" w:type="dxa"/>
              <w:end w:w="120" w:type="dxa"/>
            </w:tcMar>
            <w:vAlign w:val="center"/>
          </w:tcPr>
          <w:p>
            <w:pPr>
              <w:spacing w:after="0" w:line="259" w:lineRule="auto"/>
            </w:pPr>
            <w:r>
              <w:rPr>
                <w:sz w:val="16"/>
              </w:rPr>
              <w:t>Cortex Constitution</w:t>
            </w:r>
          </w:p>
        </w:tc>
        <w:tc>
          <w:tcPr>
            <w:tcW w:type="dxa" w:w="4104"/>
            <w:tcMar>
              <w:top w:w="90" w:type="dxa"/>
              <w:start w:w="120" w:type="dxa"/>
              <w:bottom w:w="90" w:type="dxa"/>
              <w:end w:w="120" w:type="dxa"/>
            </w:tcMar>
            <w:vAlign w:val="center"/>
          </w:tcPr>
          <w:p>
            <w:pPr>
              <w:spacing w:after="0" w:line="259" w:lineRule="auto"/>
            </w:pPr>
            <w:r>
              <w:rPr>
                <w:sz w:val="16"/>
              </w:rPr>
              <w:t>Identitet, grundnormer, konflikt- og anti-omgåelsesregler</w:t>
            </w:r>
          </w:p>
        </w:tc>
        <w:tc>
          <w:tcPr>
            <w:tcW w:type="dxa" w:w="1944"/>
            <w:tcMar>
              <w:top w:w="90" w:type="dxa"/>
              <w:start w:w="120" w:type="dxa"/>
              <w:bottom w:w="90" w:type="dxa"/>
              <w:end w:w="120" w:type="dxa"/>
            </w:tcMar>
            <w:vAlign w:val="center"/>
          </w:tcPr>
          <w:p>
            <w:pPr>
              <w:spacing w:after="0" w:line="259" w:lineRule="auto"/>
            </w:pPr>
            <w:r>
              <w:rPr>
                <w:sz w:val="16"/>
              </w:rPr>
              <w:t>Højeste</w:t>
            </w:r>
          </w:p>
        </w:tc>
      </w:tr>
      <w:tr>
        <w:tc>
          <w:tcPr>
            <w:tcW w:type="dxa" w:w="792"/>
            <w:tcMar>
              <w:top w:w="90" w:type="dxa"/>
              <w:start w:w="120" w:type="dxa"/>
              <w:bottom w:w="90" w:type="dxa"/>
              <w:end w:w="120" w:type="dxa"/>
            </w:tcMar>
            <w:vAlign w:val="center"/>
          </w:tcPr>
          <w:p>
            <w:pPr>
              <w:shd w:fill="F7F9FA"/>
              <w:spacing w:after="0" w:line="259" w:lineRule="auto"/>
            </w:pPr>
            <w:r>
              <w:rPr>
                <w:sz w:val="16"/>
              </w:rPr>
              <w:t>LEX</w:t>
            </w:r>
          </w:p>
        </w:tc>
        <w:tc>
          <w:tcPr>
            <w:tcW w:type="dxa" w:w="2520"/>
            <w:tcMar>
              <w:top w:w="90" w:type="dxa"/>
              <w:start w:w="120" w:type="dxa"/>
              <w:bottom w:w="90" w:type="dxa"/>
              <w:end w:w="120" w:type="dxa"/>
            </w:tcMar>
            <w:vAlign w:val="center"/>
          </w:tcPr>
          <w:p>
            <w:pPr>
              <w:shd w:fill="F7F9FA"/>
              <w:spacing w:after="0" w:line="259" w:lineRule="auto"/>
            </w:pPr>
            <w:r>
              <w:rPr>
                <w:sz w:val="16"/>
              </w:rPr>
              <w:t>Glossary &amp; Domain Ontology</w:t>
            </w:r>
          </w:p>
        </w:tc>
        <w:tc>
          <w:tcPr>
            <w:tcW w:type="dxa" w:w="4104"/>
            <w:tcMar>
              <w:top w:w="90" w:type="dxa"/>
              <w:start w:w="120" w:type="dxa"/>
              <w:bottom w:w="90" w:type="dxa"/>
              <w:end w:w="120" w:type="dxa"/>
            </w:tcMar>
            <w:vAlign w:val="center"/>
          </w:tcPr>
          <w:p>
            <w:pPr>
              <w:shd w:fill="F7F9FA"/>
              <w:spacing w:after="0" w:line="259" w:lineRule="auto"/>
            </w:pPr>
            <w:r>
              <w:rPr>
                <w:sz w:val="16"/>
              </w:rPr>
              <w:t>Autoritative definitioner, relationer og begrebsgrænser</w:t>
            </w:r>
          </w:p>
        </w:tc>
        <w:tc>
          <w:tcPr>
            <w:tcW w:type="dxa" w:w="1944"/>
            <w:tcMar>
              <w:top w:w="90" w:type="dxa"/>
              <w:start w:w="120" w:type="dxa"/>
              <w:bottom w:w="90" w:type="dxa"/>
              <w:end w:w="120" w:type="dxa"/>
            </w:tcMar>
            <w:vAlign w:val="center"/>
          </w:tcPr>
          <w:p>
            <w:pPr>
              <w:shd w:fill="F7F9FA"/>
              <w:spacing w:after="0" w:line="259" w:lineRule="auto"/>
            </w:pPr>
            <w:r>
              <w:rPr>
                <w:sz w:val="16"/>
              </w:rPr>
              <w:t>Tværgående bindende</w:t>
            </w:r>
          </w:p>
        </w:tc>
      </w:tr>
      <w:tr>
        <w:tc>
          <w:tcPr>
            <w:tcW w:type="dxa" w:w="792"/>
            <w:tcMar>
              <w:top w:w="90" w:type="dxa"/>
              <w:start w:w="120" w:type="dxa"/>
              <w:bottom w:w="90" w:type="dxa"/>
              <w:end w:w="120" w:type="dxa"/>
            </w:tcMar>
            <w:vAlign w:val="center"/>
          </w:tcPr>
          <w:p>
            <w:pPr>
              <w:spacing w:after="0" w:line="259" w:lineRule="auto"/>
            </w:pPr>
            <w:r>
              <w:rPr>
                <w:sz w:val="16"/>
              </w:rPr>
              <w:t>PP</w:t>
            </w:r>
          </w:p>
        </w:tc>
        <w:tc>
          <w:tcPr>
            <w:tcW w:type="dxa" w:w="2520"/>
            <w:tcMar>
              <w:top w:w="90" w:type="dxa"/>
              <w:start w:w="120" w:type="dxa"/>
              <w:bottom w:w="90" w:type="dxa"/>
              <w:end w:w="120" w:type="dxa"/>
            </w:tcMar>
            <w:vAlign w:val="center"/>
          </w:tcPr>
          <w:p>
            <w:pPr>
              <w:spacing w:after="0" w:line="259" w:lineRule="auto"/>
            </w:pPr>
            <w:r>
              <w:rPr>
                <w:sz w:val="16"/>
              </w:rPr>
              <w:t>Position Paper</w:t>
            </w:r>
          </w:p>
        </w:tc>
        <w:tc>
          <w:tcPr>
            <w:tcW w:type="dxa" w:w="4104"/>
            <w:tcMar>
              <w:top w:w="90" w:type="dxa"/>
              <w:start w:w="120" w:type="dxa"/>
              <w:bottom w:w="90" w:type="dxa"/>
              <w:end w:w="120" w:type="dxa"/>
            </w:tcMar>
            <w:vAlign w:val="center"/>
          </w:tcPr>
          <w:p>
            <w:pPr>
              <w:spacing w:after="0" w:line="259" w:lineRule="auto"/>
            </w:pPr>
            <w:r>
              <w:rPr>
                <w:sz w:val="16"/>
              </w:rPr>
              <w:t>Argumentation, evidens, kritik og fortolkning af et afgrænset princip</w:t>
            </w:r>
          </w:p>
        </w:tc>
        <w:tc>
          <w:tcPr>
            <w:tcW w:type="dxa" w:w="1944"/>
            <w:tcMar>
              <w:top w:w="90" w:type="dxa"/>
              <w:start w:w="120" w:type="dxa"/>
              <w:bottom w:w="90" w:type="dxa"/>
              <w:end w:w="120" w:type="dxa"/>
            </w:tcMar>
            <w:vAlign w:val="center"/>
          </w:tcPr>
          <w:p>
            <w:pPr>
              <w:spacing w:after="0" w:line="259" w:lineRule="auto"/>
            </w:pPr>
            <w:r>
              <w:rPr>
                <w:sz w:val="16"/>
              </w:rPr>
              <w:t>Fortolkende</w:t>
            </w:r>
          </w:p>
        </w:tc>
      </w:tr>
      <w:tr>
        <w:tc>
          <w:tcPr>
            <w:tcW w:type="dxa" w:w="792"/>
            <w:tcMar>
              <w:top w:w="90" w:type="dxa"/>
              <w:start w:w="120" w:type="dxa"/>
              <w:bottom w:w="90" w:type="dxa"/>
              <w:end w:w="120" w:type="dxa"/>
            </w:tcMar>
            <w:vAlign w:val="center"/>
          </w:tcPr>
          <w:p>
            <w:pPr>
              <w:shd w:fill="F7F9FA"/>
              <w:spacing w:after="0" w:line="259" w:lineRule="auto"/>
            </w:pPr>
            <w:r>
              <w:rPr>
                <w:sz w:val="16"/>
              </w:rPr>
              <w:t>GOV</w:t>
            </w:r>
          </w:p>
        </w:tc>
        <w:tc>
          <w:tcPr>
            <w:tcW w:type="dxa" w:w="2520"/>
            <w:tcMar>
              <w:top w:w="90" w:type="dxa"/>
              <w:start w:w="120" w:type="dxa"/>
              <w:bottom w:w="90" w:type="dxa"/>
              <w:end w:w="120" w:type="dxa"/>
            </w:tcMar>
            <w:vAlign w:val="center"/>
          </w:tcPr>
          <w:p>
            <w:pPr>
              <w:shd w:fill="F7F9FA"/>
              <w:spacing w:after="0" w:line="259" w:lineRule="auto"/>
            </w:pPr>
            <w:r>
              <w:rPr>
                <w:sz w:val="16"/>
              </w:rPr>
              <w:t>Ethics &amp; Governance Policy</w:t>
            </w:r>
          </w:p>
        </w:tc>
        <w:tc>
          <w:tcPr>
            <w:tcW w:type="dxa" w:w="4104"/>
            <w:tcMar>
              <w:top w:w="90" w:type="dxa"/>
              <w:start w:w="120" w:type="dxa"/>
              <w:bottom w:w="90" w:type="dxa"/>
              <w:end w:w="120" w:type="dxa"/>
            </w:tcMar>
            <w:vAlign w:val="center"/>
          </w:tcPr>
          <w:p>
            <w:pPr>
              <w:shd w:fill="F7F9FA"/>
              <w:spacing w:after="0" w:line="259" w:lineRule="auto"/>
            </w:pPr>
            <w:r>
              <w:rPr>
                <w:sz w:val="16"/>
              </w:rPr>
              <w:t>Roller, rettigheder, pligter, escalation og organisatoriske kontroller</w:t>
            </w:r>
          </w:p>
        </w:tc>
        <w:tc>
          <w:tcPr>
            <w:tcW w:type="dxa" w:w="1944"/>
            <w:tcMar>
              <w:top w:w="90" w:type="dxa"/>
              <w:start w:w="120" w:type="dxa"/>
              <w:bottom w:w="90" w:type="dxa"/>
              <w:end w:w="120" w:type="dxa"/>
            </w:tcMar>
            <w:vAlign w:val="center"/>
          </w:tcPr>
          <w:p>
            <w:pPr>
              <w:shd w:fill="F7F9FA"/>
              <w:spacing w:after="0" w:line="259" w:lineRule="auto"/>
            </w:pPr>
            <w:r>
              <w:rPr>
                <w:sz w:val="16"/>
              </w:rPr>
              <w:t>Bindende politik</w:t>
            </w:r>
          </w:p>
        </w:tc>
      </w:tr>
      <w:tr>
        <w:tc>
          <w:tcPr>
            <w:tcW w:type="dxa" w:w="792"/>
            <w:tcMar>
              <w:top w:w="90" w:type="dxa"/>
              <w:start w:w="120" w:type="dxa"/>
              <w:bottom w:w="90" w:type="dxa"/>
              <w:end w:w="120" w:type="dxa"/>
            </w:tcMar>
            <w:vAlign w:val="center"/>
          </w:tcPr>
          <w:p>
            <w:pPr>
              <w:spacing w:after="0" w:line="259" w:lineRule="auto"/>
            </w:pPr>
            <w:r>
              <w:rPr>
                <w:sz w:val="16"/>
              </w:rPr>
              <w:t>DP</w:t>
            </w:r>
          </w:p>
        </w:tc>
        <w:tc>
          <w:tcPr>
            <w:tcW w:type="dxa" w:w="2520"/>
            <w:tcMar>
              <w:top w:w="90" w:type="dxa"/>
              <w:start w:w="120" w:type="dxa"/>
              <w:bottom w:w="90" w:type="dxa"/>
              <w:end w:w="120" w:type="dxa"/>
            </w:tcMar>
            <w:vAlign w:val="center"/>
          </w:tcPr>
          <w:p>
            <w:pPr>
              <w:spacing w:after="0" w:line="259" w:lineRule="auto"/>
            </w:pPr>
            <w:r>
              <w:rPr>
                <w:sz w:val="16"/>
              </w:rPr>
              <w:t>Design Principle</w:t>
            </w:r>
          </w:p>
        </w:tc>
        <w:tc>
          <w:tcPr>
            <w:tcW w:type="dxa" w:w="4104"/>
            <w:tcMar>
              <w:top w:w="90" w:type="dxa"/>
              <w:start w:w="120" w:type="dxa"/>
              <w:bottom w:w="90" w:type="dxa"/>
              <w:end w:w="120" w:type="dxa"/>
            </w:tcMar>
            <w:vAlign w:val="center"/>
          </w:tcPr>
          <w:p>
            <w:pPr>
              <w:spacing w:after="0" w:line="259" w:lineRule="auto"/>
            </w:pPr>
            <w:r>
              <w:rPr>
                <w:sz w:val="16"/>
              </w:rPr>
              <w:t>Gentagelig, normafledt interaktions- og arbejdsregel</w:t>
            </w:r>
          </w:p>
        </w:tc>
        <w:tc>
          <w:tcPr>
            <w:tcW w:type="dxa" w:w="1944"/>
            <w:tcMar>
              <w:top w:w="90" w:type="dxa"/>
              <w:start w:w="120" w:type="dxa"/>
              <w:bottom w:w="90" w:type="dxa"/>
              <w:end w:w="120" w:type="dxa"/>
            </w:tcMar>
            <w:vAlign w:val="center"/>
          </w:tcPr>
          <w:p>
            <w:pPr>
              <w:spacing w:after="0" w:line="259" w:lineRule="auto"/>
            </w:pPr>
            <w:r>
              <w:rPr>
                <w:sz w:val="16"/>
              </w:rPr>
              <w:t>Bindende standard</w:t>
            </w:r>
          </w:p>
        </w:tc>
      </w:tr>
      <w:tr>
        <w:tc>
          <w:tcPr>
            <w:tcW w:type="dxa" w:w="792"/>
            <w:tcMar>
              <w:top w:w="90" w:type="dxa"/>
              <w:start w:w="120" w:type="dxa"/>
              <w:bottom w:w="90" w:type="dxa"/>
              <w:end w:w="120" w:type="dxa"/>
            </w:tcMar>
            <w:vAlign w:val="center"/>
          </w:tcPr>
          <w:p>
            <w:pPr>
              <w:shd w:fill="F7F9FA"/>
              <w:spacing w:after="0" w:line="259" w:lineRule="auto"/>
            </w:pPr>
            <w:r>
              <w:rPr>
                <w:sz w:val="16"/>
              </w:rPr>
              <w:t>ADR</w:t>
            </w:r>
          </w:p>
        </w:tc>
        <w:tc>
          <w:tcPr>
            <w:tcW w:type="dxa" w:w="2520"/>
            <w:tcMar>
              <w:top w:w="90" w:type="dxa"/>
              <w:start w:w="120" w:type="dxa"/>
              <w:bottom w:w="90" w:type="dxa"/>
              <w:end w:w="120" w:type="dxa"/>
            </w:tcMar>
            <w:vAlign w:val="center"/>
          </w:tcPr>
          <w:p>
            <w:pPr>
              <w:shd w:fill="F7F9FA"/>
              <w:spacing w:after="0" w:line="259" w:lineRule="auto"/>
            </w:pPr>
            <w:r>
              <w:rPr>
                <w:sz w:val="16"/>
              </w:rPr>
              <w:t>Architecture Decision Record</w:t>
            </w:r>
          </w:p>
        </w:tc>
        <w:tc>
          <w:tcPr>
            <w:tcW w:type="dxa" w:w="4104"/>
            <w:tcMar>
              <w:top w:w="90" w:type="dxa"/>
              <w:start w:w="120" w:type="dxa"/>
              <w:bottom w:w="90" w:type="dxa"/>
              <w:end w:w="120" w:type="dxa"/>
            </w:tcMar>
            <w:vAlign w:val="center"/>
          </w:tcPr>
          <w:p>
            <w:pPr>
              <w:shd w:fill="F7F9FA"/>
              <w:spacing w:after="0" w:line="259" w:lineRule="auto"/>
            </w:pPr>
            <w:r>
              <w:rPr>
                <w:sz w:val="16"/>
              </w:rPr>
              <w:t>Konkret teknisk beslutning, alternativer og konsekvenser</w:t>
            </w:r>
          </w:p>
        </w:tc>
        <w:tc>
          <w:tcPr>
            <w:tcW w:type="dxa" w:w="1944"/>
            <w:tcMar>
              <w:top w:w="90" w:type="dxa"/>
              <w:start w:w="120" w:type="dxa"/>
              <w:bottom w:w="90" w:type="dxa"/>
              <w:end w:w="120" w:type="dxa"/>
            </w:tcMar>
            <w:vAlign w:val="center"/>
          </w:tcPr>
          <w:p>
            <w:pPr>
              <w:shd w:fill="F7F9FA"/>
              <w:spacing w:after="0" w:line="259" w:lineRule="auto"/>
            </w:pPr>
            <w:r>
              <w:rPr>
                <w:sz w:val="16"/>
              </w:rPr>
              <w:t>Bindende i scope</w:t>
            </w:r>
          </w:p>
        </w:tc>
      </w:tr>
      <w:tr>
        <w:tc>
          <w:tcPr>
            <w:tcW w:type="dxa" w:w="792"/>
            <w:tcMar>
              <w:top w:w="90" w:type="dxa"/>
              <w:start w:w="120" w:type="dxa"/>
              <w:bottom w:w="90" w:type="dxa"/>
              <w:end w:w="120" w:type="dxa"/>
            </w:tcMar>
            <w:vAlign w:val="center"/>
          </w:tcPr>
          <w:p>
            <w:pPr>
              <w:spacing w:after="0" w:line="259" w:lineRule="auto"/>
            </w:pPr>
            <w:r>
              <w:rPr>
                <w:sz w:val="16"/>
              </w:rPr>
              <w:t>PRD</w:t>
            </w:r>
          </w:p>
        </w:tc>
        <w:tc>
          <w:tcPr>
            <w:tcW w:type="dxa" w:w="2520"/>
            <w:tcMar>
              <w:top w:w="90" w:type="dxa"/>
              <w:start w:w="120" w:type="dxa"/>
              <w:bottom w:w="90" w:type="dxa"/>
              <w:end w:w="120" w:type="dxa"/>
            </w:tcMar>
            <w:vAlign w:val="center"/>
          </w:tcPr>
          <w:p>
            <w:pPr>
              <w:spacing w:after="0" w:line="259" w:lineRule="auto"/>
            </w:pPr>
            <w:r>
              <w:rPr>
                <w:sz w:val="16"/>
              </w:rPr>
              <w:t>Product Requirement</w:t>
            </w:r>
          </w:p>
        </w:tc>
        <w:tc>
          <w:tcPr>
            <w:tcW w:type="dxa" w:w="4104"/>
            <w:tcMar>
              <w:top w:w="90" w:type="dxa"/>
              <w:start w:w="120" w:type="dxa"/>
              <w:bottom w:w="90" w:type="dxa"/>
              <w:end w:w="120" w:type="dxa"/>
            </w:tcMar>
            <w:vAlign w:val="center"/>
          </w:tcPr>
          <w:p>
            <w:pPr>
              <w:spacing w:after="0" w:line="259" w:lineRule="auto"/>
            </w:pPr>
            <w:r>
              <w:rPr>
                <w:sz w:val="16"/>
              </w:rPr>
              <w:t>Målbar systemadfærd og acceptance criteria</w:t>
            </w:r>
          </w:p>
        </w:tc>
        <w:tc>
          <w:tcPr>
            <w:tcW w:type="dxa" w:w="1944"/>
            <w:tcMar>
              <w:top w:w="90" w:type="dxa"/>
              <w:start w:w="120" w:type="dxa"/>
              <w:bottom w:w="90" w:type="dxa"/>
              <w:end w:w="120" w:type="dxa"/>
            </w:tcMar>
            <w:vAlign w:val="center"/>
          </w:tcPr>
          <w:p>
            <w:pPr>
              <w:spacing w:after="0" w:line="259" w:lineRule="auto"/>
            </w:pPr>
            <w:r>
              <w:rPr>
                <w:sz w:val="16"/>
              </w:rPr>
              <w:t>Release-bindende</w:t>
            </w:r>
          </w:p>
        </w:tc>
      </w:tr>
      <w:tr>
        <w:tc>
          <w:tcPr>
            <w:tcW w:type="dxa" w:w="792"/>
            <w:tcMar>
              <w:top w:w="90" w:type="dxa"/>
              <w:start w:w="120" w:type="dxa"/>
              <w:bottom w:w="90" w:type="dxa"/>
              <w:end w:w="120" w:type="dxa"/>
            </w:tcMar>
            <w:vAlign w:val="center"/>
          </w:tcPr>
          <w:p>
            <w:pPr>
              <w:shd w:fill="F7F9FA"/>
              <w:spacing w:after="0" w:line="259" w:lineRule="auto"/>
            </w:pPr>
            <w:r>
              <w:rPr>
                <w:sz w:val="16"/>
              </w:rPr>
              <w:t>CSC</w:t>
            </w:r>
          </w:p>
        </w:tc>
        <w:tc>
          <w:tcPr>
            <w:tcW w:type="dxa" w:w="2520"/>
            <w:tcMar>
              <w:top w:w="90" w:type="dxa"/>
              <w:start w:w="120" w:type="dxa"/>
              <w:bottom w:w="90" w:type="dxa"/>
              <w:end w:w="120" w:type="dxa"/>
            </w:tcMar>
            <w:vAlign w:val="center"/>
          </w:tcPr>
          <w:p>
            <w:pPr>
              <w:shd w:fill="F7F9FA"/>
              <w:spacing w:after="0" w:line="259" w:lineRule="auto"/>
            </w:pPr>
            <w:r>
              <w:rPr>
                <w:sz w:val="16"/>
              </w:rPr>
              <w:t>Clinical Safety Case</w:t>
            </w:r>
          </w:p>
        </w:tc>
        <w:tc>
          <w:tcPr>
            <w:tcW w:type="dxa" w:w="4104"/>
            <w:tcMar>
              <w:top w:w="90" w:type="dxa"/>
              <w:start w:w="120" w:type="dxa"/>
              <w:bottom w:w="90" w:type="dxa"/>
              <w:end w:w="120" w:type="dxa"/>
            </w:tcMar>
            <w:vAlign w:val="center"/>
          </w:tcPr>
          <w:p>
            <w:pPr>
              <w:shd w:fill="F7F9FA"/>
              <w:spacing w:after="0" w:line="259" w:lineRule="auto"/>
            </w:pPr>
            <w:r>
              <w:rPr>
                <w:sz w:val="16"/>
              </w:rPr>
              <w:t>Struktureret argument for acceptabel sikkerhed og residualrisiko</w:t>
            </w:r>
          </w:p>
        </w:tc>
        <w:tc>
          <w:tcPr>
            <w:tcW w:type="dxa" w:w="1944"/>
            <w:tcMar>
              <w:top w:w="90" w:type="dxa"/>
              <w:start w:w="120" w:type="dxa"/>
              <w:bottom w:w="90" w:type="dxa"/>
              <w:end w:w="120" w:type="dxa"/>
            </w:tcMar>
            <w:vAlign w:val="center"/>
          </w:tcPr>
          <w:p>
            <w:pPr>
              <w:shd w:fill="F7F9FA"/>
              <w:spacing w:after="0" w:line="259" w:lineRule="auto"/>
            </w:pPr>
            <w:r>
              <w:rPr>
                <w:sz w:val="16"/>
              </w:rPr>
              <w:t>Release-gate</w:t>
            </w:r>
          </w:p>
        </w:tc>
      </w:tr>
      <w:tr>
        <w:tc>
          <w:tcPr>
            <w:tcW w:type="dxa" w:w="792"/>
            <w:tcMar>
              <w:top w:w="90" w:type="dxa"/>
              <w:start w:w="120" w:type="dxa"/>
              <w:bottom w:w="90" w:type="dxa"/>
              <w:end w:w="120" w:type="dxa"/>
            </w:tcMar>
            <w:vAlign w:val="center"/>
          </w:tcPr>
          <w:p>
            <w:pPr>
              <w:spacing w:after="0" w:line="259" w:lineRule="auto"/>
            </w:pPr>
            <w:r>
              <w:rPr>
                <w:sz w:val="16"/>
              </w:rPr>
              <w:t>EP</w:t>
            </w:r>
          </w:p>
        </w:tc>
        <w:tc>
          <w:tcPr>
            <w:tcW w:type="dxa" w:w="2520"/>
            <w:tcMar>
              <w:top w:w="90" w:type="dxa"/>
              <w:start w:w="120" w:type="dxa"/>
              <w:bottom w:w="90" w:type="dxa"/>
              <w:end w:w="120" w:type="dxa"/>
            </w:tcMar>
            <w:vAlign w:val="center"/>
          </w:tcPr>
          <w:p>
            <w:pPr>
              <w:spacing w:after="0" w:line="259" w:lineRule="auto"/>
            </w:pPr>
            <w:r>
              <w:rPr>
                <w:sz w:val="16"/>
              </w:rPr>
              <w:t>Evaluation Protocol</w:t>
            </w:r>
          </w:p>
        </w:tc>
        <w:tc>
          <w:tcPr>
            <w:tcW w:type="dxa" w:w="4104"/>
            <w:tcMar>
              <w:top w:w="90" w:type="dxa"/>
              <w:start w:w="120" w:type="dxa"/>
              <w:bottom w:w="90" w:type="dxa"/>
              <w:end w:w="120" w:type="dxa"/>
            </w:tcMar>
            <w:vAlign w:val="center"/>
          </w:tcPr>
          <w:p>
            <w:pPr>
              <w:spacing w:after="0" w:line="259" w:lineRule="auto"/>
            </w:pPr>
            <w:r>
              <w:rPr>
                <w:sz w:val="16"/>
              </w:rPr>
              <w:t>Metode, endpoints, population, tærskler og analyseplan</w:t>
            </w:r>
          </w:p>
        </w:tc>
        <w:tc>
          <w:tcPr>
            <w:tcW w:type="dxa" w:w="1944"/>
            <w:tcMar>
              <w:top w:w="90" w:type="dxa"/>
              <w:start w:w="120" w:type="dxa"/>
              <w:bottom w:w="90" w:type="dxa"/>
              <w:end w:w="120" w:type="dxa"/>
            </w:tcMar>
            <w:vAlign w:val="center"/>
          </w:tcPr>
          <w:p>
            <w:pPr>
              <w:spacing w:after="0" w:line="259" w:lineRule="auto"/>
            </w:pPr>
            <w:r>
              <w:rPr>
                <w:sz w:val="16"/>
              </w:rPr>
              <w:t>Evalueringsbindende</w:t>
            </w:r>
          </w:p>
        </w:tc>
      </w:tr>
      <w:tr>
        <w:tc>
          <w:tcPr>
            <w:tcW w:type="dxa" w:w="792"/>
            <w:tcMar>
              <w:top w:w="90" w:type="dxa"/>
              <w:start w:w="120" w:type="dxa"/>
              <w:bottom w:w="90" w:type="dxa"/>
              <w:end w:w="120" w:type="dxa"/>
            </w:tcMar>
            <w:vAlign w:val="center"/>
          </w:tcPr>
          <w:p>
            <w:pPr>
              <w:shd w:fill="F7F9FA"/>
              <w:spacing w:after="0" w:line="259" w:lineRule="auto"/>
            </w:pPr>
            <w:r>
              <w:rPr>
                <w:sz w:val="16"/>
              </w:rPr>
              <w:t>RA</w:t>
            </w:r>
          </w:p>
        </w:tc>
        <w:tc>
          <w:tcPr>
            <w:tcW w:type="dxa" w:w="2520"/>
            <w:tcMar>
              <w:top w:w="90" w:type="dxa"/>
              <w:start w:w="120" w:type="dxa"/>
              <w:bottom w:w="90" w:type="dxa"/>
              <w:end w:w="120" w:type="dxa"/>
            </w:tcMar>
            <w:vAlign w:val="center"/>
          </w:tcPr>
          <w:p>
            <w:pPr>
              <w:shd w:fill="F7F9FA"/>
              <w:spacing w:after="0" w:line="259" w:lineRule="auto"/>
            </w:pPr>
            <w:r>
              <w:rPr>
                <w:sz w:val="16"/>
              </w:rPr>
              <w:t>Research Agenda</w:t>
            </w:r>
          </w:p>
        </w:tc>
        <w:tc>
          <w:tcPr>
            <w:tcW w:type="dxa" w:w="4104"/>
            <w:tcMar>
              <w:top w:w="90" w:type="dxa"/>
              <w:start w:w="120" w:type="dxa"/>
              <w:bottom w:w="90" w:type="dxa"/>
              <w:end w:w="120" w:type="dxa"/>
            </w:tcMar>
            <w:vAlign w:val="center"/>
          </w:tcPr>
          <w:p>
            <w:pPr>
              <w:shd w:fill="F7F9FA"/>
              <w:spacing w:after="0" w:line="259" w:lineRule="auto"/>
            </w:pPr>
            <w:r>
              <w:rPr>
                <w:sz w:val="16"/>
              </w:rPr>
              <w:t>Prioriterede hypoteser og videnshuller</w:t>
            </w:r>
          </w:p>
        </w:tc>
        <w:tc>
          <w:tcPr>
            <w:tcW w:type="dxa" w:w="1944"/>
            <w:tcMar>
              <w:top w:w="90" w:type="dxa"/>
              <w:start w:w="120" w:type="dxa"/>
              <w:bottom w:w="90" w:type="dxa"/>
              <w:end w:w="120" w:type="dxa"/>
            </w:tcMar>
            <w:vAlign w:val="center"/>
          </w:tcPr>
          <w:p>
            <w:pPr>
              <w:shd w:fill="F7F9FA"/>
              <w:spacing w:after="0" w:line="259" w:lineRule="auto"/>
            </w:pPr>
            <w:r>
              <w:rPr>
                <w:sz w:val="16"/>
              </w:rPr>
              <w:t>Retningsgivende</w:t>
            </w:r>
          </w:p>
        </w:tc>
      </w:tr>
      <w:tr>
        <w:tc>
          <w:tcPr>
            <w:tcW w:type="dxa" w:w="792"/>
            <w:tcMar>
              <w:top w:w="90" w:type="dxa"/>
              <w:start w:w="120" w:type="dxa"/>
              <w:bottom w:w="90" w:type="dxa"/>
              <w:end w:w="120" w:type="dxa"/>
            </w:tcMar>
            <w:vAlign w:val="center"/>
          </w:tcPr>
          <w:p>
            <w:pPr>
              <w:spacing w:after="0" w:line="259" w:lineRule="auto"/>
            </w:pPr>
            <w:r>
              <w:rPr>
                <w:sz w:val="16"/>
              </w:rPr>
              <w:t>RD</w:t>
            </w:r>
          </w:p>
        </w:tc>
        <w:tc>
          <w:tcPr>
            <w:tcW w:type="dxa" w:w="2520"/>
            <w:tcMar>
              <w:top w:w="90" w:type="dxa"/>
              <w:start w:w="120" w:type="dxa"/>
              <w:bottom w:w="90" w:type="dxa"/>
              <w:end w:w="120" w:type="dxa"/>
            </w:tcMar>
            <w:vAlign w:val="center"/>
          </w:tcPr>
          <w:p>
            <w:pPr>
              <w:spacing w:after="0" w:line="259" w:lineRule="auto"/>
            </w:pPr>
            <w:r>
              <w:rPr>
                <w:sz w:val="16"/>
              </w:rPr>
              <w:t>Release Dossier</w:t>
            </w:r>
          </w:p>
        </w:tc>
        <w:tc>
          <w:tcPr>
            <w:tcW w:type="dxa" w:w="4104"/>
            <w:tcMar>
              <w:top w:w="90" w:type="dxa"/>
              <w:start w:w="120" w:type="dxa"/>
              <w:bottom w:w="90" w:type="dxa"/>
              <w:end w:w="120" w:type="dxa"/>
            </w:tcMar>
            <w:vAlign w:val="center"/>
          </w:tcPr>
          <w:p>
            <w:pPr>
              <w:spacing w:after="0" w:line="259" w:lineRule="auto"/>
            </w:pPr>
            <w:r>
              <w:rPr>
                <w:sz w:val="16"/>
              </w:rPr>
              <w:t>Samlet bevispakke for release, monitorering og rollback</w:t>
            </w:r>
          </w:p>
        </w:tc>
        <w:tc>
          <w:tcPr>
            <w:tcW w:type="dxa" w:w="1944"/>
            <w:tcMar>
              <w:top w:w="90" w:type="dxa"/>
              <w:start w:w="120" w:type="dxa"/>
              <w:bottom w:w="90" w:type="dxa"/>
              <w:end w:w="120" w:type="dxa"/>
            </w:tcMar>
            <w:vAlign w:val="center"/>
          </w:tcPr>
          <w:p>
            <w:pPr>
              <w:spacing w:after="0" w:line="259" w:lineRule="auto"/>
            </w:pPr>
            <w:r>
              <w:rPr>
                <w:sz w:val="16"/>
              </w:rPr>
              <w:t>Godkendelsesgrundlag</w:t>
            </w:r>
          </w:p>
        </w:tc>
      </w:tr>
      <w:tr>
        <w:tc>
          <w:tcPr>
            <w:tcW w:type="dxa" w:w="792"/>
            <w:tcMar>
              <w:top w:w="90" w:type="dxa"/>
              <w:start w:w="120" w:type="dxa"/>
              <w:bottom w:w="90" w:type="dxa"/>
              <w:end w:w="120" w:type="dxa"/>
            </w:tcMar>
            <w:vAlign w:val="center"/>
          </w:tcPr>
          <w:p>
            <w:pPr>
              <w:shd w:fill="F7F9FA"/>
              <w:spacing w:after="0" w:line="259" w:lineRule="auto"/>
            </w:pPr>
            <w:r>
              <w:rPr>
                <w:sz w:val="16"/>
              </w:rPr>
              <w:t>ILR</w:t>
            </w:r>
          </w:p>
        </w:tc>
        <w:tc>
          <w:tcPr>
            <w:tcW w:type="dxa" w:w="2520"/>
            <w:tcMar>
              <w:top w:w="90" w:type="dxa"/>
              <w:start w:w="120" w:type="dxa"/>
              <w:bottom w:w="90" w:type="dxa"/>
              <w:end w:w="120" w:type="dxa"/>
            </w:tcMar>
            <w:vAlign w:val="center"/>
          </w:tcPr>
          <w:p>
            <w:pPr>
              <w:shd w:fill="F7F9FA"/>
              <w:spacing w:after="0" w:line="259" w:lineRule="auto"/>
            </w:pPr>
            <w:r>
              <w:rPr>
                <w:sz w:val="16"/>
              </w:rPr>
              <w:t>Incident &amp; Learning Record</w:t>
            </w:r>
          </w:p>
        </w:tc>
        <w:tc>
          <w:tcPr>
            <w:tcW w:type="dxa" w:w="4104"/>
            <w:tcMar>
              <w:top w:w="90" w:type="dxa"/>
              <w:start w:w="120" w:type="dxa"/>
              <w:bottom w:w="90" w:type="dxa"/>
              <w:end w:w="120" w:type="dxa"/>
            </w:tcMar>
            <w:vAlign w:val="center"/>
          </w:tcPr>
          <w:p>
            <w:pPr>
              <w:shd w:fill="F7F9FA"/>
              <w:spacing w:after="0" w:line="259" w:lineRule="auto"/>
            </w:pPr>
            <w:r>
              <w:rPr>
                <w:sz w:val="16"/>
              </w:rPr>
              <w:t>Hændelser, signaler, årsag, handling og tilbageføring til styringen</w:t>
            </w:r>
          </w:p>
        </w:tc>
        <w:tc>
          <w:tcPr>
            <w:tcW w:type="dxa" w:w="1944"/>
            <w:tcMar>
              <w:top w:w="90" w:type="dxa"/>
              <w:start w:w="120" w:type="dxa"/>
              <w:bottom w:w="90" w:type="dxa"/>
              <w:end w:w="120" w:type="dxa"/>
            </w:tcMar>
            <w:vAlign w:val="center"/>
          </w:tcPr>
          <w:p>
            <w:pPr>
              <w:shd w:fill="F7F9FA"/>
              <w:spacing w:after="0" w:line="259" w:lineRule="auto"/>
            </w:pPr>
            <w:r>
              <w:rPr>
                <w:sz w:val="16"/>
              </w:rPr>
              <w:t>Læringsbindende</w:t>
            </w:r>
          </w:p>
        </w:tc>
      </w:tr>
    </w:tbl>
    <w:p>
      <w:pPr>
        <w:spacing w:after="0"/>
      </w:pPr>
    </w:p>
    <w:p>
      <w:pPr>
        <w:spacing w:before="100" w:after="180"/>
        <w:ind w:left="173" w:right="173"/>
        <w:shd w:fill="EEF3F6"/>
      </w:pPr>
      <w:r>
        <w:rPr>
          <w:b/>
          <w:color w:val="15324A"/>
        </w:rPr>
        <w:t xml:space="preserve">Tilføjede typer: </w:t>
      </w:r>
      <w:r>
        <w:t>LEX, CSC, EP, RD og ILR lukker hullerne mellem princip, implementering, release og læring. Uden dem er frameworket ikke et lukket styringskredsløb.</w:t>
      </w:r>
    </w:p>
    <w:p>
      <w:r>
        <w:br w:type="page"/>
      </w:r>
    </w:p>
    <w:p>
      <w:pPr>
        <w:spacing w:after="60"/>
      </w:pPr>
      <w:r>
        <w:rPr>
          <w:b/>
          <w:color w:val="667085"/>
          <w:sz w:val="18"/>
        </w:rPr>
        <w:t>HVAD VINDER VED KONFLIKT?</w:t>
      </w:r>
    </w:p>
    <w:p>
      <w:pPr>
        <w:pStyle w:val="Heading1"/>
      </w:pPr>
      <w:r>
        <w:t>3. Autoritet og forrang</w:t>
      </w:r>
    </w:p>
    <w:tbl>
      <w:tblPr>
        <w:tblW w:type="dxa" w:w="9360"/>
        <w:jc w:val="left"/>
        <w:tblLayout w:type="fixed"/>
        <w:tblLook w:firstColumn="1" w:firstRow="1" w:lastColumn="0" w:lastRow="0" w:noHBand="0" w:noVBand="1" w:val="04A0"/>
        <w:tblInd w:w="120" w:type="dxa"/>
      </w:tblPr>
      <w:tblGrid>
        <w:gridCol w:w="792"/>
        <w:gridCol w:w="2952"/>
        <w:gridCol w:w="3024"/>
        <w:gridCol w:w="2592"/>
      </w:tblGrid>
      <w:tr>
        <w:trPr>
          <w:tblHeader/>
        </w:trPr>
        <w:tc>
          <w:tcPr>
            <w:tcW w:type="dxa" w:w="792"/>
            <w:tcMar>
              <w:top w:w="90" w:type="dxa"/>
              <w:start w:w="120" w:type="dxa"/>
              <w:bottom w:w="90" w:type="dxa"/>
              <w:end w:w="120" w:type="dxa"/>
            </w:tcMar>
            <w:vAlign w:val="center"/>
          </w:tcPr>
          <w:p>
            <w:pPr>
              <w:shd w:fill="DCE6EB"/>
            </w:pPr>
            <w:r>
              <w:rPr>
                <w:b/>
                <w:color w:val="15324A"/>
                <w:sz w:val="16"/>
              </w:rPr>
              <w:t>Rang</w:t>
            </w:r>
          </w:p>
        </w:tc>
        <w:tc>
          <w:tcPr>
            <w:tcW w:type="dxa" w:w="2952"/>
            <w:tcMar>
              <w:top w:w="90" w:type="dxa"/>
              <w:start w:w="120" w:type="dxa"/>
              <w:bottom w:w="90" w:type="dxa"/>
              <w:end w:w="120" w:type="dxa"/>
            </w:tcMar>
            <w:vAlign w:val="center"/>
          </w:tcPr>
          <w:p>
            <w:pPr>
              <w:shd w:fill="DCE6EB"/>
            </w:pPr>
            <w:r>
              <w:rPr>
                <w:b/>
                <w:color w:val="15324A"/>
                <w:sz w:val="16"/>
              </w:rPr>
              <w:t>Kilde</w:t>
            </w:r>
          </w:p>
        </w:tc>
        <w:tc>
          <w:tcPr>
            <w:tcW w:type="dxa" w:w="3024"/>
            <w:tcMar>
              <w:top w:w="90" w:type="dxa"/>
              <w:start w:w="120" w:type="dxa"/>
              <w:bottom w:w="90" w:type="dxa"/>
              <w:end w:w="120" w:type="dxa"/>
            </w:tcMar>
            <w:vAlign w:val="center"/>
          </w:tcPr>
          <w:p>
            <w:pPr>
              <w:shd w:fill="DCE6EB"/>
            </w:pPr>
            <w:r>
              <w:rPr>
                <w:b/>
                <w:color w:val="15324A"/>
                <w:sz w:val="16"/>
              </w:rPr>
              <w:t>Må gøre</w:t>
            </w:r>
          </w:p>
        </w:tc>
        <w:tc>
          <w:tcPr>
            <w:tcW w:type="dxa" w:w="2592"/>
            <w:tcMar>
              <w:top w:w="90" w:type="dxa"/>
              <w:start w:w="120" w:type="dxa"/>
              <w:bottom w:w="90" w:type="dxa"/>
              <w:end w:w="120" w:type="dxa"/>
            </w:tcMar>
            <w:vAlign w:val="center"/>
          </w:tcPr>
          <w:p>
            <w:pPr>
              <w:shd w:fill="DCE6EB"/>
            </w:pPr>
            <w:r>
              <w:rPr>
                <w:b/>
                <w:color w:val="15324A"/>
                <w:sz w:val="16"/>
              </w:rPr>
              <w:t>Må ikke gøre</w:t>
            </w:r>
          </w:p>
        </w:tc>
      </w:tr>
      <w:tr>
        <w:tc>
          <w:tcPr>
            <w:tcW w:type="dxa" w:w="792"/>
            <w:tcMar>
              <w:top w:w="90" w:type="dxa"/>
              <w:start w:w="120" w:type="dxa"/>
              <w:bottom w:w="90" w:type="dxa"/>
              <w:end w:w="120" w:type="dxa"/>
            </w:tcMar>
            <w:vAlign w:val="center"/>
          </w:tcPr>
          <w:p>
            <w:pPr>
              <w:spacing w:after="0" w:line="259" w:lineRule="auto"/>
            </w:pPr>
            <w:r>
              <w:rPr>
                <w:sz w:val="16"/>
              </w:rPr>
              <w:t>1</w:t>
            </w:r>
          </w:p>
        </w:tc>
        <w:tc>
          <w:tcPr>
            <w:tcW w:type="dxa" w:w="2952"/>
            <w:tcMar>
              <w:top w:w="90" w:type="dxa"/>
              <w:start w:w="120" w:type="dxa"/>
              <w:bottom w:w="90" w:type="dxa"/>
              <w:end w:w="120" w:type="dxa"/>
            </w:tcMar>
            <w:vAlign w:val="center"/>
          </w:tcPr>
          <w:p>
            <w:pPr>
              <w:spacing w:after="0" w:line="259" w:lineRule="auto"/>
            </w:pPr>
            <w:r>
              <w:rPr>
                <w:sz w:val="16"/>
              </w:rPr>
              <w:t>Constitution</w:t>
            </w:r>
          </w:p>
        </w:tc>
        <w:tc>
          <w:tcPr>
            <w:tcW w:type="dxa" w:w="3024"/>
            <w:tcMar>
              <w:top w:w="90" w:type="dxa"/>
              <w:start w:w="120" w:type="dxa"/>
              <w:bottom w:w="90" w:type="dxa"/>
              <w:end w:w="120" w:type="dxa"/>
            </w:tcMar>
            <w:vAlign w:val="center"/>
          </w:tcPr>
          <w:p>
            <w:pPr>
              <w:spacing w:after="0" w:line="259" w:lineRule="auto"/>
            </w:pPr>
            <w:r>
              <w:rPr>
                <w:sz w:val="16"/>
              </w:rPr>
              <w:t>Fastlægge ufravigelige normer og konflikthierarki</w:t>
            </w:r>
          </w:p>
        </w:tc>
        <w:tc>
          <w:tcPr>
            <w:tcW w:type="dxa" w:w="2592"/>
            <w:tcMar>
              <w:top w:w="90" w:type="dxa"/>
              <w:start w:w="120" w:type="dxa"/>
              <w:bottom w:w="90" w:type="dxa"/>
              <w:end w:w="120" w:type="dxa"/>
            </w:tcMar>
            <w:vAlign w:val="center"/>
          </w:tcPr>
          <w:p>
            <w:pPr>
              <w:spacing w:after="0" w:line="259" w:lineRule="auto"/>
            </w:pPr>
            <w:r>
              <w:rPr>
                <w:sz w:val="16"/>
              </w:rPr>
              <w:t>Specificere forældelige implementeringer</w:t>
            </w:r>
          </w:p>
        </w:tc>
      </w:tr>
      <w:tr>
        <w:tc>
          <w:tcPr>
            <w:tcW w:type="dxa" w:w="792"/>
            <w:tcMar>
              <w:top w:w="90" w:type="dxa"/>
              <w:start w:w="120" w:type="dxa"/>
              <w:bottom w:w="90" w:type="dxa"/>
              <w:end w:w="120" w:type="dxa"/>
            </w:tcMar>
            <w:vAlign w:val="center"/>
          </w:tcPr>
          <w:p>
            <w:pPr>
              <w:shd w:fill="F7F9FA"/>
              <w:spacing w:after="0" w:line="259" w:lineRule="auto"/>
            </w:pPr>
            <w:r>
              <w:rPr>
                <w:sz w:val="16"/>
              </w:rPr>
              <w:t>2</w:t>
            </w:r>
          </w:p>
        </w:tc>
        <w:tc>
          <w:tcPr>
            <w:tcW w:type="dxa" w:w="2952"/>
            <w:tcMar>
              <w:top w:w="90" w:type="dxa"/>
              <w:start w:w="120" w:type="dxa"/>
              <w:bottom w:w="90" w:type="dxa"/>
              <w:end w:w="120" w:type="dxa"/>
            </w:tcMar>
            <w:vAlign w:val="center"/>
          </w:tcPr>
          <w:p>
            <w:pPr>
              <w:shd w:fill="F7F9FA"/>
              <w:spacing w:after="0" w:line="259" w:lineRule="auto"/>
            </w:pPr>
            <w:r>
              <w:rPr>
                <w:sz w:val="16"/>
              </w:rPr>
              <w:t>Godkendte governance policies + LEX</w:t>
            </w:r>
          </w:p>
        </w:tc>
        <w:tc>
          <w:tcPr>
            <w:tcW w:type="dxa" w:w="3024"/>
            <w:tcMar>
              <w:top w:w="90" w:type="dxa"/>
              <w:start w:w="120" w:type="dxa"/>
              <w:bottom w:w="90" w:type="dxa"/>
              <w:end w:w="120" w:type="dxa"/>
            </w:tcMar>
            <w:vAlign w:val="center"/>
          </w:tcPr>
          <w:p>
            <w:pPr>
              <w:shd w:fill="F7F9FA"/>
              <w:spacing w:after="0" w:line="259" w:lineRule="auto"/>
            </w:pPr>
            <w:r>
              <w:rPr>
                <w:sz w:val="16"/>
              </w:rPr>
              <w:t>Definere roller, proces, kontrol og autoritative begreber</w:t>
            </w:r>
          </w:p>
        </w:tc>
        <w:tc>
          <w:tcPr>
            <w:tcW w:type="dxa" w:w="2592"/>
            <w:tcMar>
              <w:top w:w="90" w:type="dxa"/>
              <w:start w:w="120" w:type="dxa"/>
              <w:bottom w:w="90" w:type="dxa"/>
              <w:end w:w="120" w:type="dxa"/>
            </w:tcMar>
            <w:vAlign w:val="center"/>
          </w:tcPr>
          <w:p>
            <w:pPr>
              <w:shd w:fill="F7F9FA"/>
              <w:spacing w:after="0" w:line="259" w:lineRule="auto"/>
            </w:pPr>
            <w:r>
              <w:rPr>
                <w:sz w:val="16"/>
              </w:rPr>
              <w:t>Ændre Constitutionens formål</w:t>
            </w:r>
          </w:p>
        </w:tc>
      </w:tr>
      <w:tr>
        <w:tc>
          <w:tcPr>
            <w:tcW w:type="dxa" w:w="792"/>
            <w:tcMar>
              <w:top w:w="90" w:type="dxa"/>
              <w:start w:w="120" w:type="dxa"/>
              <w:bottom w:w="90" w:type="dxa"/>
              <w:end w:w="120" w:type="dxa"/>
            </w:tcMar>
            <w:vAlign w:val="center"/>
          </w:tcPr>
          <w:p>
            <w:pPr>
              <w:spacing w:after="0" w:line="259" w:lineRule="auto"/>
            </w:pPr>
            <w:r>
              <w:rPr>
                <w:sz w:val="16"/>
              </w:rPr>
              <w:t>3</w:t>
            </w:r>
          </w:p>
        </w:tc>
        <w:tc>
          <w:tcPr>
            <w:tcW w:type="dxa" w:w="2952"/>
            <w:tcMar>
              <w:top w:w="90" w:type="dxa"/>
              <w:start w:w="120" w:type="dxa"/>
              <w:bottom w:w="90" w:type="dxa"/>
              <w:end w:w="120" w:type="dxa"/>
            </w:tcMar>
            <w:vAlign w:val="center"/>
          </w:tcPr>
          <w:p>
            <w:pPr>
              <w:spacing w:after="0" w:line="259" w:lineRule="auto"/>
            </w:pPr>
            <w:r>
              <w:rPr>
                <w:sz w:val="16"/>
              </w:rPr>
              <w:t>Ratificerede Position Papers</w:t>
            </w:r>
          </w:p>
        </w:tc>
        <w:tc>
          <w:tcPr>
            <w:tcW w:type="dxa" w:w="3024"/>
            <w:tcMar>
              <w:top w:w="90" w:type="dxa"/>
              <w:start w:w="120" w:type="dxa"/>
              <w:bottom w:w="90" w:type="dxa"/>
              <w:end w:w="120" w:type="dxa"/>
            </w:tcMar>
            <w:vAlign w:val="center"/>
          </w:tcPr>
          <w:p>
            <w:pPr>
              <w:spacing w:after="0" w:line="259" w:lineRule="auto"/>
            </w:pPr>
            <w:r>
              <w:rPr>
                <w:sz w:val="16"/>
              </w:rPr>
              <w:t>Fortolke og argumentere for Constitutionen</w:t>
            </w:r>
          </w:p>
        </w:tc>
        <w:tc>
          <w:tcPr>
            <w:tcW w:type="dxa" w:w="2592"/>
            <w:tcMar>
              <w:top w:w="90" w:type="dxa"/>
              <w:start w:w="120" w:type="dxa"/>
              <w:bottom w:w="90" w:type="dxa"/>
              <w:end w:w="120" w:type="dxa"/>
            </w:tcMar>
            <w:vAlign w:val="center"/>
          </w:tcPr>
          <w:p>
            <w:pPr>
              <w:spacing w:after="0" w:line="259" w:lineRule="auto"/>
            </w:pPr>
            <w:r>
              <w:rPr>
                <w:sz w:val="16"/>
              </w:rPr>
              <w:t>Skabe skjulte undtagelser</w:t>
            </w:r>
          </w:p>
        </w:tc>
      </w:tr>
      <w:tr>
        <w:tc>
          <w:tcPr>
            <w:tcW w:type="dxa" w:w="792"/>
            <w:tcMar>
              <w:top w:w="90" w:type="dxa"/>
              <w:start w:w="120" w:type="dxa"/>
              <w:bottom w:w="90" w:type="dxa"/>
              <w:end w:w="120" w:type="dxa"/>
            </w:tcMar>
            <w:vAlign w:val="center"/>
          </w:tcPr>
          <w:p>
            <w:pPr>
              <w:shd w:fill="F7F9FA"/>
              <w:spacing w:after="0" w:line="259" w:lineRule="auto"/>
            </w:pPr>
            <w:r>
              <w:rPr>
                <w:sz w:val="16"/>
              </w:rPr>
              <w:t>4</w:t>
            </w:r>
          </w:p>
        </w:tc>
        <w:tc>
          <w:tcPr>
            <w:tcW w:type="dxa" w:w="2952"/>
            <w:tcMar>
              <w:top w:w="90" w:type="dxa"/>
              <w:start w:w="120" w:type="dxa"/>
              <w:bottom w:w="90" w:type="dxa"/>
              <w:end w:w="120" w:type="dxa"/>
            </w:tcMar>
            <w:vAlign w:val="center"/>
          </w:tcPr>
          <w:p>
            <w:pPr>
              <w:shd w:fill="F7F9FA"/>
              <w:spacing w:after="0" w:line="259" w:lineRule="auto"/>
            </w:pPr>
            <w:r>
              <w:rPr>
                <w:sz w:val="16"/>
              </w:rPr>
              <w:t>Design Principles + Safety Policies</w:t>
            </w:r>
          </w:p>
        </w:tc>
        <w:tc>
          <w:tcPr>
            <w:tcW w:type="dxa" w:w="3024"/>
            <w:tcMar>
              <w:top w:w="90" w:type="dxa"/>
              <w:start w:w="120" w:type="dxa"/>
              <w:bottom w:w="90" w:type="dxa"/>
              <w:end w:w="120" w:type="dxa"/>
            </w:tcMar>
            <w:vAlign w:val="center"/>
          </w:tcPr>
          <w:p>
            <w:pPr>
              <w:shd w:fill="F7F9FA"/>
              <w:spacing w:after="0" w:line="259" w:lineRule="auto"/>
            </w:pPr>
            <w:r>
              <w:rPr>
                <w:sz w:val="16"/>
              </w:rPr>
              <w:t>Omsætte normer til generelle adfærdsregler</w:t>
            </w:r>
          </w:p>
        </w:tc>
        <w:tc>
          <w:tcPr>
            <w:tcW w:type="dxa" w:w="2592"/>
            <w:tcMar>
              <w:top w:w="90" w:type="dxa"/>
              <w:start w:w="120" w:type="dxa"/>
              <w:bottom w:w="90" w:type="dxa"/>
              <w:end w:w="120" w:type="dxa"/>
            </w:tcMar>
            <w:vAlign w:val="center"/>
          </w:tcPr>
          <w:p>
            <w:pPr>
              <w:shd w:fill="F7F9FA"/>
              <w:spacing w:after="0" w:line="259" w:lineRule="auto"/>
            </w:pPr>
            <w:r>
              <w:rPr>
                <w:sz w:val="16"/>
              </w:rPr>
              <w:t>Overtrumfe højere normer</w:t>
            </w:r>
          </w:p>
        </w:tc>
      </w:tr>
      <w:tr>
        <w:tc>
          <w:tcPr>
            <w:tcW w:type="dxa" w:w="792"/>
            <w:tcMar>
              <w:top w:w="90" w:type="dxa"/>
              <w:start w:w="120" w:type="dxa"/>
              <w:bottom w:w="90" w:type="dxa"/>
              <w:end w:w="120" w:type="dxa"/>
            </w:tcMar>
            <w:vAlign w:val="center"/>
          </w:tcPr>
          <w:p>
            <w:pPr>
              <w:spacing w:after="0" w:line="259" w:lineRule="auto"/>
            </w:pPr>
            <w:r>
              <w:rPr>
                <w:sz w:val="16"/>
              </w:rPr>
              <w:t>5</w:t>
            </w:r>
          </w:p>
        </w:tc>
        <w:tc>
          <w:tcPr>
            <w:tcW w:type="dxa" w:w="2952"/>
            <w:tcMar>
              <w:top w:w="90" w:type="dxa"/>
              <w:start w:w="120" w:type="dxa"/>
              <w:bottom w:w="90" w:type="dxa"/>
              <w:end w:w="120" w:type="dxa"/>
            </w:tcMar>
            <w:vAlign w:val="center"/>
          </w:tcPr>
          <w:p>
            <w:pPr>
              <w:spacing w:after="0" w:line="259" w:lineRule="auto"/>
            </w:pPr>
            <w:r>
              <w:rPr>
                <w:sz w:val="16"/>
              </w:rPr>
              <w:t>ADR + CSC + EP</w:t>
            </w:r>
          </w:p>
        </w:tc>
        <w:tc>
          <w:tcPr>
            <w:tcW w:type="dxa" w:w="3024"/>
            <w:tcMar>
              <w:top w:w="90" w:type="dxa"/>
              <w:start w:w="120" w:type="dxa"/>
              <w:bottom w:w="90" w:type="dxa"/>
              <w:end w:w="120" w:type="dxa"/>
            </w:tcMar>
            <w:vAlign w:val="center"/>
          </w:tcPr>
          <w:p>
            <w:pPr>
              <w:spacing w:after="0" w:line="259" w:lineRule="auto"/>
            </w:pPr>
            <w:r>
              <w:rPr>
                <w:sz w:val="16"/>
              </w:rPr>
              <w:t>Fastlægge scoped arkitektur, sikkerhedsargument og evaluering</w:t>
            </w:r>
          </w:p>
        </w:tc>
        <w:tc>
          <w:tcPr>
            <w:tcW w:type="dxa" w:w="2592"/>
            <w:tcMar>
              <w:top w:w="90" w:type="dxa"/>
              <w:start w:w="120" w:type="dxa"/>
              <w:bottom w:w="90" w:type="dxa"/>
              <w:end w:w="120" w:type="dxa"/>
            </w:tcMar>
            <w:vAlign w:val="center"/>
          </w:tcPr>
          <w:p>
            <w:pPr>
              <w:spacing w:after="0" w:line="259" w:lineRule="auto"/>
            </w:pPr>
            <w:r>
              <w:rPr>
                <w:sz w:val="16"/>
              </w:rPr>
              <w:t>Generalisere ud over scope</w:t>
            </w:r>
          </w:p>
        </w:tc>
      </w:tr>
      <w:tr>
        <w:tc>
          <w:tcPr>
            <w:tcW w:type="dxa" w:w="792"/>
            <w:tcMar>
              <w:top w:w="90" w:type="dxa"/>
              <w:start w:w="120" w:type="dxa"/>
              <w:bottom w:w="90" w:type="dxa"/>
              <w:end w:w="120" w:type="dxa"/>
            </w:tcMar>
            <w:vAlign w:val="center"/>
          </w:tcPr>
          <w:p>
            <w:pPr>
              <w:shd w:fill="F7F9FA"/>
              <w:spacing w:after="0" w:line="259" w:lineRule="auto"/>
            </w:pPr>
            <w:r>
              <w:rPr>
                <w:sz w:val="16"/>
              </w:rPr>
              <w:t>6</w:t>
            </w:r>
          </w:p>
        </w:tc>
        <w:tc>
          <w:tcPr>
            <w:tcW w:type="dxa" w:w="2952"/>
            <w:tcMar>
              <w:top w:w="90" w:type="dxa"/>
              <w:start w:w="120" w:type="dxa"/>
              <w:bottom w:w="90" w:type="dxa"/>
              <w:end w:w="120" w:type="dxa"/>
            </w:tcMar>
            <w:vAlign w:val="center"/>
          </w:tcPr>
          <w:p>
            <w:pPr>
              <w:shd w:fill="F7F9FA"/>
              <w:spacing w:after="0" w:line="259" w:lineRule="auto"/>
            </w:pPr>
            <w:r>
              <w:rPr>
                <w:sz w:val="16"/>
              </w:rPr>
              <w:t>PRD + Release Dossier</w:t>
            </w:r>
          </w:p>
        </w:tc>
        <w:tc>
          <w:tcPr>
            <w:tcW w:type="dxa" w:w="3024"/>
            <w:tcMar>
              <w:top w:w="90" w:type="dxa"/>
              <w:start w:w="120" w:type="dxa"/>
              <w:bottom w:w="90" w:type="dxa"/>
              <w:end w:w="120" w:type="dxa"/>
            </w:tcMar>
            <w:vAlign w:val="center"/>
          </w:tcPr>
          <w:p>
            <w:pPr>
              <w:shd w:fill="F7F9FA"/>
              <w:spacing w:after="0" w:line="259" w:lineRule="auto"/>
            </w:pPr>
            <w:r>
              <w:rPr>
                <w:sz w:val="16"/>
              </w:rPr>
              <w:t>Kravsætte og godkende konkret systemadfærd</w:t>
            </w:r>
          </w:p>
        </w:tc>
        <w:tc>
          <w:tcPr>
            <w:tcW w:type="dxa" w:w="2592"/>
            <w:tcMar>
              <w:top w:w="90" w:type="dxa"/>
              <w:start w:w="120" w:type="dxa"/>
              <w:bottom w:w="90" w:type="dxa"/>
              <w:end w:w="120" w:type="dxa"/>
            </w:tcMar>
            <w:vAlign w:val="center"/>
          </w:tcPr>
          <w:p>
            <w:pPr>
              <w:shd w:fill="F7F9FA"/>
              <w:spacing w:after="0" w:line="259" w:lineRule="auto"/>
            </w:pPr>
            <w:r>
              <w:rPr>
                <w:sz w:val="16"/>
              </w:rPr>
              <w:t>Omgå sporbarhed eller gates</w:t>
            </w:r>
          </w:p>
        </w:tc>
      </w:tr>
      <w:tr>
        <w:tc>
          <w:tcPr>
            <w:tcW w:type="dxa" w:w="792"/>
            <w:tcMar>
              <w:top w:w="90" w:type="dxa"/>
              <w:start w:w="120" w:type="dxa"/>
              <w:bottom w:w="90" w:type="dxa"/>
              <w:end w:w="120" w:type="dxa"/>
            </w:tcMar>
            <w:vAlign w:val="center"/>
          </w:tcPr>
          <w:p>
            <w:pPr>
              <w:spacing w:after="0" w:line="259" w:lineRule="auto"/>
            </w:pPr>
            <w:r>
              <w:rPr>
                <w:sz w:val="16"/>
              </w:rPr>
              <w:t>7</w:t>
            </w:r>
          </w:p>
        </w:tc>
        <w:tc>
          <w:tcPr>
            <w:tcW w:type="dxa" w:w="2952"/>
            <w:tcMar>
              <w:top w:w="90" w:type="dxa"/>
              <w:start w:w="120" w:type="dxa"/>
              <w:bottom w:w="90" w:type="dxa"/>
              <w:end w:w="120" w:type="dxa"/>
            </w:tcMar>
            <w:vAlign w:val="center"/>
          </w:tcPr>
          <w:p>
            <w:pPr>
              <w:spacing w:after="0" w:line="259" w:lineRule="auto"/>
            </w:pPr>
            <w:r>
              <w:rPr>
                <w:sz w:val="16"/>
              </w:rPr>
              <w:t>Implementering og drift</w:t>
            </w:r>
          </w:p>
        </w:tc>
        <w:tc>
          <w:tcPr>
            <w:tcW w:type="dxa" w:w="3024"/>
            <w:tcMar>
              <w:top w:w="90" w:type="dxa"/>
              <w:start w:w="120" w:type="dxa"/>
              <w:bottom w:w="90" w:type="dxa"/>
              <w:end w:w="120" w:type="dxa"/>
            </w:tcMar>
            <w:vAlign w:val="center"/>
          </w:tcPr>
          <w:p>
            <w:pPr>
              <w:spacing w:after="0" w:line="259" w:lineRule="auto"/>
            </w:pPr>
            <w:r>
              <w:rPr>
                <w:sz w:val="16"/>
              </w:rPr>
              <w:t>Realisere, monitorere og rapportere</w:t>
            </w:r>
          </w:p>
        </w:tc>
        <w:tc>
          <w:tcPr>
            <w:tcW w:type="dxa" w:w="2592"/>
            <w:tcMar>
              <w:top w:w="90" w:type="dxa"/>
              <w:start w:w="120" w:type="dxa"/>
              <w:bottom w:w="90" w:type="dxa"/>
              <w:end w:w="120" w:type="dxa"/>
            </w:tcMar>
            <w:vAlign w:val="center"/>
          </w:tcPr>
          <w:p>
            <w:pPr>
              <w:spacing w:after="0" w:line="259" w:lineRule="auto"/>
            </w:pPr>
            <w:r>
              <w:rPr>
                <w:sz w:val="16"/>
              </w:rPr>
              <w:t>Definere sin egen legitimitet</w:t>
            </w:r>
          </w:p>
        </w:tc>
      </w:tr>
    </w:tbl>
    <w:p>
      <w:pPr>
        <w:spacing w:after="0"/>
      </w:pPr>
    </w:p>
    <w:p>
      <w:pPr>
        <w:pStyle w:val="Heading2"/>
      </w:pPr>
      <w:r>
        <w:t>Forrangsregel</w:t>
      </w:r>
    </w:p>
    <w:p>
      <w:r>
        <w:rPr>
          <w:rFonts w:ascii="Calibri" w:hAnsi="Calibri"/>
          <w:i w:val="0"/>
          <w:sz w:val="22"/>
        </w:rPr>
        <w:t>Ved uoverensstemmelse sættes det lavere artefakt i status CONTESTED og må ikke bruges som releasegrundlag. Konflikten løses af ejerorganet for det højeste berørte niveau. En produktdeadline, sunk cost eller leverandørbinding er aldrig i sig selv en gyldig grund til at tilsidesætte en højere norm.</w:t>
      </w:r>
    </w:p>
    <w:p>
      <w:pPr>
        <w:spacing w:before="100" w:after="180"/>
        <w:ind w:left="173" w:right="173"/>
        <w:shd w:fill="FCE8E6"/>
      </w:pPr>
      <w:r>
        <w:rPr>
          <w:b/>
          <w:color w:val="9B2C2C"/>
        </w:rPr>
        <w:t xml:space="preserve">Anti-laundering: </w:t>
      </w:r>
      <w:r>
        <w:t>Et team må ikke omdøbe en normativ konflikt til et ‘teknisk trade-off’ for at flytte den til en ADR. Klassifikationen afgøres af konfliktens substans, ikke dokumentets titel.</w:t>
      </w:r>
    </w:p>
    <w:p>
      <w:r>
        <w:br w:type="page"/>
      </w:r>
    </w:p>
    <w:p>
      <w:pPr>
        <w:spacing w:after="60"/>
      </w:pPr>
      <w:r>
        <w:rPr>
          <w:b/>
          <w:color w:val="667085"/>
          <w:sz w:val="18"/>
        </w:rPr>
        <w:t>FRA OBSERVATION TIL REVISION</w:t>
      </w:r>
    </w:p>
    <w:p>
      <w:pPr>
        <w:pStyle w:val="Heading1"/>
      </w:pPr>
      <w:r>
        <w:t>4. Den epistemiske og normative pipeline</w:t>
      </w:r>
    </w:p>
    <w:tbl>
      <w:tblPr>
        <w:tblW w:type="dxa" w:w="9360"/>
        <w:jc w:val="left"/>
        <w:tblLayout w:type="fixed"/>
        <w:tblLook w:firstColumn="1" w:firstRow="1" w:lastColumn="0" w:lastRow="0" w:noHBand="0" w:noVBand="1" w:val="04A0"/>
        <w:tblInd w:w="120" w:type="dxa"/>
      </w:tblPr>
      <w:tblGrid>
        <w:gridCol w:w="1296"/>
        <w:gridCol w:w="1944"/>
        <w:gridCol w:w="3672"/>
        <w:gridCol w:w="2448"/>
      </w:tblGrid>
      <w:tr>
        <w:trPr>
          <w:tblHeader/>
        </w:trPr>
        <w:tc>
          <w:tcPr>
            <w:tcW w:type="dxa" w:w="1296"/>
            <w:tcMar>
              <w:top w:w="90" w:type="dxa"/>
              <w:start w:w="120" w:type="dxa"/>
              <w:bottom w:w="90" w:type="dxa"/>
              <w:end w:w="120" w:type="dxa"/>
            </w:tcMar>
            <w:vAlign w:val="center"/>
          </w:tcPr>
          <w:p>
            <w:pPr>
              <w:shd w:fill="DCE6EB"/>
            </w:pPr>
            <w:r>
              <w:rPr>
                <w:b/>
                <w:color w:val="15324A"/>
                <w:sz w:val="15"/>
              </w:rPr>
              <w:t>Trin</w:t>
            </w:r>
          </w:p>
        </w:tc>
        <w:tc>
          <w:tcPr>
            <w:tcW w:type="dxa" w:w="1944"/>
            <w:tcMar>
              <w:top w:w="90" w:type="dxa"/>
              <w:start w:w="120" w:type="dxa"/>
              <w:bottom w:w="90" w:type="dxa"/>
              <w:end w:w="120" w:type="dxa"/>
            </w:tcMar>
            <w:vAlign w:val="center"/>
          </w:tcPr>
          <w:p>
            <w:pPr>
              <w:shd w:fill="DCE6EB"/>
            </w:pPr>
            <w:r>
              <w:rPr>
                <w:b/>
                <w:color w:val="15324A"/>
                <w:sz w:val="15"/>
              </w:rPr>
              <w:t>Artefakt</w:t>
            </w:r>
          </w:p>
        </w:tc>
        <w:tc>
          <w:tcPr>
            <w:tcW w:type="dxa" w:w="3672"/>
            <w:tcMar>
              <w:top w:w="90" w:type="dxa"/>
              <w:start w:w="120" w:type="dxa"/>
              <w:bottom w:w="90" w:type="dxa"/>
              <w:end w:w="120" w:type="dxa"/>
            </w:tcMar>
            <w:vAlign w:val="center"/>
          </w:tcPr>
          <w:p>
            <w:pPr>
              <w:shd w:fill="DCE6EB"/>
            </w:pPr>
            <w:r>
              <w:rPr>
                <w:b/>
                <w:color w:val="15324A"/>
                <w:sz w:val="15"/>
              </w:rPr>
              <w:t>Obligatorisk output</w:t>
            </w:r>
          </w:p>
        </w:tc>
        <w:tc>
          <w:tcPr>
            <w:tcW w:type="dxa" w:w="2448"/>
            <w:tcMar>
              <w:top w:w="90" w:type="dxa"/>
              <w:start w:w="120" w:type="dxa"/>
              <w:bottom w:w="90" w:type="dxa"/>
              <w:end w:w="120" w:type="dxa"/>
            </w:tcMar>
            <w:vAlign w:val="center"/>
          </w:tcPr>
          <w:p>
            <w:pPr>
              <w:shd w:fill="DCE6EB"/>
            </w:pPr>
            <w:r>
              <w:rPr>
                <w:b/>
                <w:color w:val="15324A"/>
                <w:sz w:val="15"/>
              </w:rPr>
              <w:t>Exit-kriterium</w:t>
            </w:r>
          </w:p>
        </w:tc>
      </w:tr>
      <w:tr>
        <w:tc>
          <w:tcPr>
            <w:tcW w:type="dxa" w:w="1296"/>
            <w:tcMar>
              <w:top w:w="90" w:type="dxa"/>
              <w:start w:w="120" w:type="dxa"/>
              <w:bottom w:w="90" w:type="dxa"/>
              <w:end w:w="120" w:type="dxa"/>
            </w:tcMar>
            <w:vAlign w:val="center"/>
          </w:tcPr>
          <w:p>
            <w:pPr>
              <w:spacing w:after="0" w:line="259" w:lineRule="auto"/>
            </w:pPr>
            <w:r>
              <w:rPr>
                <w:sz w:val="15"/>
              </w:rPr>
              <w:t>1. Observation</w:t>
            </w:r>
          </w:p>
        </w:tc>
        <w:tc>
          <w:tcPr>
            <w:tcW w:type="dxa" w:w="1944"/>
            <w:tcMar>
              <w:top w:w="90" w:type="dxa"/>
              <w:start w:w="120" w:type="dxa"/>
              <w:bottom w:w="90" w:type="dxa"/>
              <w:end w:w="120" w:type="dxa"/>
            </w:tcMar>
            <w:vAlign w:val="center"/>
          </w:tcPr>
          <w:p>
            <w:pPr>
              <w:spacing w:after="0" w:line="259" w:lineRule="auto"/>
            </w:pPr>
            <w:r>
              <w:rPr>
                <w:sz w:val="15"/>
              </w:rPr>
              <w:t>Research Note / ILR</w:t>
            </w:r>
          </w:p>
        </w:tc>
        <w:tc>
          <w:tcPr>
            <w:tcW w:type="dxa" w:w="3672"/>
            <w:tcMar>
              <w:top w:w="90" w:type="dxa"/>
              <w:start w:w="120" w:type="dxa"/>
              <w:bottom w:w="90" w:type="dxa"/>
              <w:end w:w="120" w:type="dxa"/>
            </w:tcMar>
            <w:vAlign w:val="center"/>
          </w:tcPr>
          <w:p>
            <w:pPr>
              <w:spacing w:after="0" w:line="259" w:lineRule="auto"/>
            </w:pPr>
            <w:r>
              <w:rPr>
                <w:sz w:val="15"/>
              </w:rPr>
              <w:t>Kilde, kontekst, signal, usikkerhed</w:t>
            </w:r>
          </w:p>
        </w:tc>
        <w:tc>
          <w:tcPr>
            <w:tcW w:type="dxa" w:w="2448"/>
            <w:tcMar>
              <w:top w:w="90" w:type="dxa"/>
              <w:start w:w="120" w:type="dxa"/>
              <w:bottom w:w="90" w:type="dxa"/>
              <w:end w:w="120" w:type="dxa"/>
            </w:tcMar>
            <w:vAlign w:val="center"/>
          </w:tcPr>
          <w:p>
            <w:pPr>
              <w:spacing w:after="0" w:line="259" w:lineRule="auto"/>
            </w:pPr>
            <w:r>
              <w:rPr>
                <w:sz w:val="15"/>
              </w:rPr>
              <w:t>Reproducerbar iagttagelse eller tydeligt markeret anekdote</w:t>
            </w:r>
          </w:p>
        </w:tc>
      </w:tr>
      <w:tr>
        <w:tc>
          <w:tcPr>
            <w:tcW w:type="dxa" w:w="1296"/>
            <w:tcMar>
              <w:top w:w="90" w:type="dxa"/>
              <w:start w:w="120" w:type="dxa"/>
              <w:bottom w:w="90" w:type="dxa"/>
              <w:end w:w="120" w:type="dxa"/>
            </w:tcMar>
            <w:vAlign w:val="center"/>
          </w:tcPr>
          <w:p>
            <w:pPr>
              <w:shd w:fill="F7F9FA"/>
              <w:spacing w:after="0" w:line="259" w:lineRule="auto"/>
            </w:pPr>
            <w:r>
              <w:rPr>
                <w:sz w:val="15"/>
              </w:rPr>
              <w:t>2. Analyse</w:t>
            </w:r>
          </w:p>
        </w:tc>
        <w:tc>
          <w:tcPr>
            <w:tcW w:type="dxa" w:w="1944"/>
            <w:tcMar>
              <w:top w:w="90" w:type="dxa"/>
              <w:start w:w="120" w:type="dxa"/>
              <w:bottom w:w="90" w:type="dxa"/>
              <w:end w:w="120" w:type="dxa"/>
            </w:tcMar>
            <w:vAlign w:val="center"/>
          </w:tcPr>
          <w:p>
            <w:pPr>
              <w:shd w:fill="F7F9FA"/>
              <w:spacing w:after="0" w:line="259" w:lineRule="auto"/>
            </w:pPr>
            <w:r>
              <w:rPr>
                <w:sz w:val="15"/>
              </w:rPr>
              <w:t>Position Paper draft</w:t>
            </w:r>
          </w:p>
        </w:tc>
        <w:tc>
          <w:tcPr>
            <w:tcW w:type="dxa" w:w="3672"/>
            <w:tcMar>
              <w:top w:w="90" w:type="dxa"/>
              <w:start w:w="120" w:type="dxa"/>
              <w:bottom w:w="90" w:type="dxa"/>
              <w:end w:w="120" w:type="dxa"/>
            </w:tcMar>
            <w:vAlign w:val="center"/>
          </w:tcPr>
          <w:p>
            <w:pPr>
              <w:shd w:fill="F7F9FA"/>
              <w:spacing w:after="0" w:line="259" w:lineRule="auto"/>
            </w:pPr>
            <w:r>
              <w:rPr>
                <w:sz w:val="15"/>
              </w:rPr>
              <w:t>Mekanisme, alternativer, modargumenter</w:t>
            </w:r>
          </w:p>
        </w:tc>
        <w:tc>
          <w:tcPr>
            <w:tcW w:type="dxa" w:w="2448"/>
            <w:tcMar>
              <w:top w:w="90" w:type="dxa"/>
              <w:start w:w="120" w:type="dxa"/>
              <w:bottom w:w="90" w:type="dxa"/>
              <w:end w:w="120" w:type="dxa"/>
            </w:tcMar>
            <w:vAlign w:val="center"/>
          </w:tcPr>
          <w:p>
            <w:pPr>
              <w:shd w:fill="F7F9FA"/>
              <w:spacing w:after="0" w:line="259" w:lineRule="auto"/>
            </w:pPr>
            <w:r>
              <w:rPr>
                <w:sz w:val="15"/>
              </w:rPr>
              <w:t>Problemet og niveauet er afgrænset</w:t>
            </w:r>
          </w:p>
        </w:tc>
      </w:tr>
      <w:tr>
        <w:tc>
          <w:tcPr>
            <w:tcW w:type="dxa" w:w="1296"/>
            <w:tcMar>
              <w:top w:w="90" w:type="dxa"/>
              <w:start w:w="120" w:type="dxa"/>
              <w:bottom w:w="90" w:type="dxa"/>
              <w:end w:w="120" w:type="dxa"/>
            </w:tcMar>
            <w:vAlign w:val="center"/>
          </w:tcPr>
          <w:p>
            <w:pPr>
              <w:spacing w:after="0" w:line="259" w:lineRule="auto"/>
            </w:pPr>
            <w:r>
              <w:rPr>
                <w:sz w:val="15"/>
              </w:rPr>
              <w:t>3. Norm</w:t>
            </w:r>
          </w:p>
        </w:tc>
        <w:tc>
          <w:tcPr>
            <w:tcW w:type="dxa" w:w="1944"/>
            <w:tcMar>
              <w:top w:w="90" w:type="dxa"/>
              <w:start w:w="120" w:type="dxa"/>
              <w:bottom w:w="90" w:type="dxa"/>
              <w:end w:w="120" w:type="dxa"/>
            </w:tcMar>
            <w:vAlign w:val="center"/>
          </w:tcPr>
          <w:p>
            <w:pPr>
              <w:spacing w:after="0" w:line="259" w:lineRule="auto"/>
            </w:pPr>
            <w:r>
              <w:rPr>
                <w:sz w:val="15"/>
              </w:rPr>
              <w:t>PP / Constitution proposal</w:t>
            </w:r>
          </w:p>
        </w:tc>
        <w:tc>
          <w:tcPr>
            <w:tcW w:type="dxa" w:w="3672"/>
            <w:tcMar>
              <w:top w:w="90" w:type="dxa"/>
              <w:start w:w="120" w:type="dxa"/>
              <w:bottom w:w="90" w:type="dxa"/>
              <w:end w:w="120" w:type="dxa"/>
            </w:tcMar>
            <w:vAlign w:val="center"/>
          </w:tcPr>
          <w:p>
            <w:pPr>
              <w:spacing w:after="0" w:line="259" w:lineRule="auto"/>
            </w:pPr>
            <w:r>
              <w:rPr>
                <w:sz w:val="15"/>
              </w:rPr>
              <w:t>Princip, beskyttelsesfunktion, konfliktregel</w:t>
            </w:r>
          </w:p>
        </w:tc>
        <w:tc>
          <w:tcPr>
            <w:tcW w:type="dxa" w:w="2448"/>
            <w:tcMar>
              <w:top w:w="90" w:type="dxa"/>
              <w:start w:w="120" w:type="dxa"/>
              <w:bottom w:w="90" w:type="dxa"/>
              <w:end w:w="120" w:type="dxa"/>
            </w:tcMar>
            <w:vAlign w:val="center"/>
          </w:tcPr>
          <w:p>
            <w:pPr>
              <w:spacing w:after="0" w:line="259" w:lineRule="auto"/>
            </w:pPr>
            <w:r>
              <w:rPr>
                <w:sz w:val="15"/>
              </w:rPr>
              <w:t>Nødvendighed og afledbarhed prøvet</w:t>
            </w:r>
          </w:p>
        </w:tc>
      </w:tr>
      <w:tr>
        <w:tc>
          <w:tcPr>
            <w:tcW w:type="dxa" w:w="1296"/>
            <w:tcMar>
              <w:top w:w="90" w:type="dxa"/>
              <w:start w:w="120" w:type="dxa"/>
              <w:bottom w:w="90" w:type="dxa"/>
              <w:end w:w="120" w:type="dxa"/>
            </w:tcMar>
            <w:vAlign w:val="center"/>
          </w:tcPr>
          <w:p>
            <w:pPr>
              <w:shd w:fill="F7F9FA"/>
              <w:spacing w:after="0" w:line="259" w:lineRule="auto"/>
            </w:pPr>
            <w:r>
              <w:rPr>
                <w:sz w:val="15"/>
              </w:rPr>
              <w:t>4. Designregel</w:t>
            </w:r>
          </w:p>
        </w:tc>
        <w:tc>
          <w:tcPr>
            <w:tcW w:type="dxa" w:w="1944"/>
            <w:tcMar>
              <w:top w:w="90" w:type="dxa"/>
              <w:start w:w="120" w:type="dxa"/>
              <w:bottom w:w="90" w:type="dxa"/>
              <w:end w:w="120" w:type="dxa"/>
            </w:tcMar>
            <w:vAlign w:val="center"/>
          </w:tcPr>
          <w:p>
            <w:pPr>
              <w:shd w:fill="F7F9FA"/>
              <w:spacing w:after="0" w:line="259" w:lineRule="auto"/>
            </w:pPr>
            <w:r>
              <w:rPr>
                <w:sz w:val="15"/>
              </w:rPr>
              <w:t>Design Principle</w:t>
            </w:r>
          </w:p>
        </w:tc>
        <w:tc>
          <w:tcPr>
            <w:tcW w:type="dxa" w:w="3672"/>
            <w:tcMar>
              <w:top w:w="90" w:type="dxa"/>
              <w:start w:w="120" w:type="dxa"/>
              <w:bottom w:w="90" w:type="dxa"/>
              <w:end w:w="120" w:type="dxa"/>
            </w:tcMar>
            <w:vAlign w:val="center"/>
          </w:tcPr>
          <w:p>
            <w:pPr>
              <w:shd w:fill="F7F9FA"/>
              <w:spacing w:after="0" w:line="259" w:lineRule="auto"/>
            </w:pPr>
            <w:r>
              <w:rPr>
                <w:sz w:val="15"/>
              </w:rPr>
              <w:t>Do/don’t, scope, eksempler, indikatorer</w:t>
            </w:r>
          </w:p>
        </w:tc>
        <w:tc>
          <w:tcPr>
            <w:tcW w:type="dxa" w:w="2448"/>
            <w:tcMar>
              <w:top w:w="90" w:type="dxa"/>
              <w:start w:w="120" w:type="dxa"/>
              <w:bottom w:w="90" w:type="dxa"/>
              <w:end w:w="120" w:type="dxa"/>
            </w:tcMar>
            <w:vAlign w:val="center"/>
          </w:tcPr>
          <w:p>
            <w:pPr>
              <w:shd w:fill="F7F9FA"/>
              <w:spacing w:after="0" w:line="259" w:lineRule="auto"/>
            </w:pPr>
            <w:r>
              <w:rPr>
                <w:sz w:val="15"/>
              </w:rPr>
              <w:t>To teams når samme beslutningsretning</w:t>
            </w:r>
          </w:p>
        </w:tc>
      </w:tr>
      <w:tr>
        <w:tc>
          <w:tcPr>
            <w:tcW w:type="dxa" w:w="1296"/>
            <w:tcMar>
              <w:top w:w="90" w:type="dxa"/>
              <w:start w:w="120" w:type="dxa"/>
              <w:bottom w:w="90" w:type="dxa"/>
              <w:end w:w="120" w:type="dxa"/>
            </w:tcMar>
            <w:vAlign w:val="center"/>
          </w:tcPr>
          <w:p>
            <w:pPr>
              <w:spacing w:after="0" w:line="259" w:lineRule="auto"/>
            </w:pPr>
            <w:r>
              <w:rPr>
                <w:sz w:val="15"/>
              </w:rPr>
              <w:t>5. Arkitektur</w:t>
            </w:r>
          </w:p>
        </w:tc>
        <w:tc>
          <w:tcPr>
            <w:tcW w:type="dxa" w:w="1944"/>
            <w:tcMar>
              <w:top w:w="90" w:type="dxa"/>
              <w:start w:w="120" w:type="dxa"/>
              <w:bottom w:w="90" w:type="dxa"/>
              <w:end w:w="120" w:type="dxa"/>
            </w:tcMar>
            <w:vAlign w:val="center"/>
          </w:tcPr>
          <w:p>
            <w:pPr>
              <w:spacing w:after="0" w:line="259" w:lineRule="auto"/>
            </w:pPr>
            <w:r>
              <w:rPr>
                <w:sz w:val="15"/>
              </w:rPr>
              <w:t>ADR + Safety Case</w:t>
            </w:r>
          </w:p>
        </w:tc>
        <w:tc>
          <w:tcPr>
            <w:tcW w:type="dxa" w:w="3672"/>
            <w:tcMar>
              <w:top w:w="90" w:type="dxa"/>
              <w:start w:w="120" w:type="dxa"/>
              <w:bottom w:w="90" w:type="dxa"/>
              <w:end w:w="120" w:type="dxa"/>
            </w:tcMar>
            <w:vAlign w:val="center"/>
          </w:tcPr>
          <w:p>
            <w:pPr>
              <w:spacing w:after="0" w:line="259" w:lineRule="auto"/>
            </w:pPr>
            <w:r>
              <w:rPr>
                <w:sz w:val="15"/>
              </w:rPr>
              <w:t>Valg, alternativer, hazards, kontroller</w:t>
            </w:r>
          </w:p>
        </w:tc>
        <w:tc>
          <w:tcPr>
            <w:tcW w:type="dxa" w:w="2448"/>
            <w:tcMar>
              <w:top w:w="90" w:type="dxa"/>
              <w:start w:w="120" w:type="dxa"/>
              <w:bottom w:w="90" w:type="dxa"/>
              <w:end w:w="120" w:type="dxa"/>
            </w:tcMar>
            <w:vAlign w:val="center"/>
          </w:tcPr>
          <w:p>
            <w:pPr>
              <w:spacing w:after="0" w:line="259" w:lineRule="auto"/>
            </w:pPr>
            <w:r>
              <w:rPr>
                <w:sz w:val="15"/>
              </w:rPr>
              <w:t>Risici og konsekvenser accepteret</w:t>
            </w:r>
          </w:p>
        </w:tc>
      </w:tr>
      <w:tr>
        <w:tc>
          <w:tcPr>
            <w:tcW w:type="dxa" w:w="1296"/>
            <w:tcMar>
              <w:top w:w="90" w:type="dxa"/>
              <w:start w:w="120" w:type="dxa"/>
              <w:bottom w:w="90" w:type="dxa"/>
              <w:end w:w="120" w:type="dxa"/>
            </w:tcMar>
            <w:vAlign w:val="center"/>
          </w:tcPr>
          <w:p>
            <w:pPr>
              <w:shd w:fill="F7F9FA"/>
              <w:spacing w:after="0" w:line="259" w:lineRule="auto"/>
            </w:pPr>
            <w:r>
              <w:rPr>
                <w:sz w:val="15"/>
              </w:rPr>
              <w:t>6. Produkt</w:t>
            </w:r>
          </w:p>
        </w:tc>
        <w:tc>
          <w:tcPr>
            <w:tcW w:type="dxa" w:w="1944"/>
            <w:tcMar>
              <w:top w:w="90" w:type="dxa"/>
              <w:start w:w="120" w:type="dxa"/>
              <w:bottom w:w="90" w:type="dxa"/>
              <w:end w:w="120" w:type="dxa"/>
            </w:tcMar>
            <w:vAlign w:val="center"/>
          </w:tcPr>
          <w:p>
            <w:pPr>
              <w:shd w:fill="F7F9FA"/>
              <w:spacing w:after="0" w:line="259" w:lineRule="auto"/>
            </w:pPr>
            <w:r>
              <w:rPr>
                <w:sz w:val="15"/>
              </w:rPr>
              <w:t>PRD + EP</w:t>
            </w:r>
          </w:p>
        </w:tc>
        <w:tc>
          <w:tcPr>
            <w:tcW w:type="dxa" w:w="3672"/>
            <w:tcMar>
              <w:top w:w="90" w:type="dxa"/>
              <w:start w:w="120" w:type="dxa"/>
              <w:bottom w:w="90" w:type="dxa"/>
              <w:end w:w="120" w:type="dxa"/>
            </w:tcMar>
            <w:vAlign w:val="center"/>
          </w:tcPr>
          <w:p>
            <w:pPr>
              <w:shd w:fill="F7F9FA"/>
              <w:spacing w:after="0" w:line="259" w:lineRule="auto"/>
            </w:pPr>
            <w:r>
              <w:rPr>
                <w:sz w:val="15"/>
              </w:rPr>
              <w:t>Acceptance criteria og evalueringsplan</w:t>
            </w:r>
          </w:p>
        </w:tc>
        <w:tc>
          <w:tcPr>
            <w:tcW w:type="dxa" w:w="2448"/>
            <w:tcMar>
              <w:top w:w="90" w:type="dxa"/>
              <w:start w:w="120" w:type="dxa"/>
              <w:bottom w:w="90" w:type="dxa"/>
              <w:end w:w="120" w:type="dxa"/>
            </w:tcMar>
            <w:vAlign w:val="center"/>
          </w:tcPr>
          <w:p>
            <w:pPr>
              <w:shd w:fill="F7F9FA"/>
              <w:spacing w:after="0" w:line="259" w:lineRule="auto"/>
            </w:pPr>
            <w:r>
              <w:rPr>
                <w:sz w:val="15"/>
              </w:rPr>
              <w:t>Krav er testbare og sporbare</w:t>
            </w:r>
          </w:p>
        </w:tc>
      </w:tr>
      <w:tr>
        <w:tc>
          <w:tcPr>
            <w:tcW w:type="dxa" w:w="1296"/>
            <w:tcMar>
              <w:top w:w="90" w:type="dxa"/>
              <w:start w:w="120" w:type="dxa"/>
              <w:bottom w:w="90" w:type="dxa"/>
              <w:end w:w="120" w:type="dxa"/>
            </w:tcMar>
            <w:vAlign w:val="center"/>
          </w:tcPr>
          <w:p>
            <w:pPr>
              <w:spacing w:after="0" w:line="259" w:lineRule="auto"/>
            </w:pPr>
            <w:r>
              <w:rPr>
                <w:sz w:val="15"/>
              </w:rPr>
              <w:t>7. Implementering</w:t>
            </w:r>
          </w:p>
        </w:tc>
        <w:tc>
          <w:tcPr>
            <w:tcW w:type="dxa" w:w="1944"/>
            <w:tcMar>
              <w:top w:w="90" w:type="dxa"/>
              <w:start w:w="120" w:type="dxa"/>
              <w:bottom w:w="90" w:type="dxa"/>
              <w:end w:w="120" w:type="dxa"/>
            </w:tcMar>
            <w:vAlign w:val="center"/>
          </w:tcPr>
          <w:p>
            <w:pPr>
              <w:spacing w:after="0" w:line="259" w:lineRule="auto"/>
            </w:pPr>
            <w:r>
              <w:rPr>
                <w:sz w:val="15"/>
              </w:rPr>
              <w:t>Kode/config/model/evidence bundle</w:t>
            </w:r>
          </w:p>
        </w:tc>
        <w:tc>
          <w:tcPr>
            <w:tcW w:type="dxa" w:w="3672"/>
            <w:tcMar>
              <w:top w:w="90" w:type="dxa"/>
              <w:start w:w="120" w:type="dxa"/>
              <w:bottom w:w="90" w:type="dxa"/>
              <w:end w:w="120" w:type="dxa"/>
            </w:tcMar>
            <w:vAlign w:val="center"/>
          </w:tcPr>
          <w:p>
            <w:pPr>
              <w:spacing w:after="0" w:line="259" w:lineRule="auto"/>
            </w:pPr>
            <w:r>
              <w:rPr>
                <w:sz w:val="15"/>
              </w:rPr>
              <w:t>Versioneret systemadfærd</w:t>
            </w:r>
          </w:p>
        </w:tc>
        <w:tc>
          <w:tcPr>
            <w:tcW w:type="dxa" w:w="2448"/>
            <w:tcMar>
              <w:top w:w="90" w:type="dxa"/>
              <w:start w:w="120" w:type="dxa"/>
              <w:bottom w:w="90" w:type="dxa"/>
              <w:end w:w="120" w:type="dxa"/>
            </w:tcMar>
            <w:vAlign w:val="center"/>
          </w:tcPr>
          <w:p>
            <w:pPr>
              <w:spacing w:after="0" w:line="259" w:lineRule="auto"/>
            </w:pPr>
            <w:r>
              <w:rPr>
                <w:sz w:val="15"/>
              </w:rPr>
              <w:t>Teknisk og klinisk verification bestået</w:t>
            </w:r>
          </w:p>
        </w:tc>
      </w:tr>
      <w:tr>
        <w:tc>
          <w:tcPr>
            <w:tcW w:type="dxa" w:w="1296"/>
            <w:tcMar>
              <w:top w:w="90" w:type="dxa"/>
              <w:start w:w="120" w:type="dxa"/>
              <w:bottom w:w="90" w:type="dxa"/>
              <w:end w:w="120" w:type="dxa"/>
            </w:tcMar>
            <w:vAlign w:val="center"/>
          </w:tcPr>
          <w:p>
            <w:pPr>
              <w:shd w:fill="F7F9FA"/>
              <w:spacing w:after="0" w:line="259" w:lineRule="auto"/>
            </w:pPr>
            <w:r>
              <w:rPr>
                <w:sz w:val="15"/>
              </w:rPr>
              <w:t>8. Release</w:t>
            </w:r>
          </w:p>
        </w:tc>
        <w:tc>
          <w:tcPr>
            <w:tcW w:type="dxa" w:w="1944"/>
            <w:tcMar>
              <w:top w:w="90" w:type="dxa"/>
              <w:start w:w="120" w:type="dxa"/>
              <w:bottom w:w="90" w:type="dxa"/>
              <w:end w:w="120" w:type="dxa"/>
            </w:tcMar>
            <w:vAlign w:val="center"/>
          </w:tcPr>
          <w:p>
            <w:pPr>
              <w:shd w:fill="F7F9FA"/>
              <w:spacing w:after="0" w:line="259" w:lineRule="auto"/>
            </w:pPr>
            <w:r>
              <w:rPr>
                <w:sz w:val="15"/>
              </w:rPr>
              <w:t>Release Dossier</w:t>
            </w:r>
          </w:p>
        </w:tc>
        <w:tc>
          <w:tcPr>
            <w:tcW w:type="dxa" w:w="3672"/>
            <w:tcMar>
              <w:top w:w="90" w:type="dxa"/>
              <w:start w:w="120" w:type="dxa"/>
              <w:bottom w:w="90" w:type="dxa"/>
              <w:end w:w="120" w:type="dxa"/>
            </w:tcMar>
            <w:vAlign w:val="center"/>
          </w:tcPr>
          <w:p>
            <w:pPr>
              <w:shd w:fill="F7F9FA"/>
              <w:spacing w:after="0" w:line="259" w:lineRule="auto"/>
            </w:pPr>
            <w:r>
              <w:rPr>
                <w:sz w:val="15"/>
              </w:rPr>
              <w:t>Bevis, residualrisiko, ejere, monitorering</w:t>
            </w:r>
          </w:p>
        </w:tc>
        <w:tc>
          <w:tcPr>
            <w:tcW w:type="dxa" w:w="2448"/>
            <w:tcMar>
              <w:top w:w="90" w:type="dxa"/>
              <w:start w:w="120" w:type="dxa"/>
              <w:bottom w:w="90" w:type="dxa"/>
              <w:end w:w="120" w:type="dxa"/>
            </w:tcMar>
            <w:vAlign w:val="center"/>
          </w:tcPr>
          <w:p>
            <w:pPr>
              <w:shd w:fill="F7F9FA"/>
              <w:spacing w:after="0" w:line="259" w:lineRule="auto"/>
            </w:pPr>
            <w:r>
              <w:rPr>
                <w:sz w:val="15"/>
              </w:rPr>
              <w:t>Godkendelsesorgan signerer</w:t>
            </w:r>
          </w:p>
        </w:tc>
      </w:tr>
      <w:tr>
        <w:tc>
          <w:tcPr>
            <w:tcW w:type="dxa" w:w="1296"/>
            <w:tcMar>
              <w:top w:w="90" w:type="dxa"/>
              <w:start w:w="120" w:type="dxa"/>
              <w:bottom w:w="90" w:type="dxa"/>
              <w:end w:w="120" w:type="dxa"/>
            </w:tcMar>
            <w:vAlign w:val="center"/>
          </w:tcPr>
          <w:p>
            <w:pPr>
              <w:spacing w:after="0" w:line="259" w:lineRule="auto"/>
            </w:pPr>
            <w:r>
              <w:rPr>
                <w:sz w:val="15"/>
              </w:rPr>
              <w:t>9. Drift og læring</w:t>
            </w:r>
          </w:p>
        </w:tc>
        <w:tc>
          <w:tcPr>
            <w:tcW w:type="dxa" w:w="1944"/>
            <w:tcMar>
              <w:top w:w="90" w:type="dxa"/>
              <w:start w:w="120" w:type="dxa"/>
              <w:bottom w:w="90" w:type="dxa"/>
              <w:end w:w="120" w:type="dxa"/>
            </w:tcMar>
            <w:vAlign w:val="center"/>
          </w:tcPr>
          <w:p>
            <w:pPr>
              <w:spacing w:after="0" w:line="259" w:lineRule="auto"/>
            </w:pPr>
            <w:r>
              <w:rPr>
                <w:sz w:val="15"/>
              </w:rPr>
              <w:t>Metrics + ILR</w:t>
            </w:r>
          </w:p>
        </w:tc>
        <w:tc>
          <w:tcPr>
            <w:tcW w:type="dxa" w:w="3672"/>
            <w:tcMar>
              <w:top w:w="90" w:type="dxa"/>
              <w:start w:w="120" w:type="dxa"/>
              <w:bottom w:w="90" w:type="dxa"/>
              <w:end w:w="120" w:type="dxa"/>
            </w:tcMar>
            <w:vAlign w:val="center"/>
          </w:tcPr>
          <w:p>
            <w:pPr>
              <w:spacing w:after="0" w:line="259" w:lineRule="auto"/>
            </w:pPr>
            <w:r>
              <w:rPr>
                <w:sz w:val="15"/>
              </w:rPr>
              <w:t>Effekt, hændelser, drift, subgroup-signaler</w:t>
            </w:r>
          </w:p>
        </w:tc>
        <w:tc>
          <w:tcPr>
            <w:tcW w:type="dxa" w:w="2448"/>
            <w:tcMar>
              <w:top w:w="90" w:type="dxa"/>
              <w:start w:w="120" w:type="dxa"/>
              <w:bottom w:w="90" w:type="dxa"/>
              <w:end w:w="120" w:type="dxa"/>
            </w:tcMar>
            <w:vAlign w:val="center"/>
          </w:tcPr>
          <w:p>
            <w:pPr>
              <w:spacing w:after="0" w:line="259" w:lineRule="auto"/>
            </w:pPr>
            <w:r>
              <w:rPr>
                <w:sz w:val="15"/>
              </w:rPr>
              <w:t>Review-trigger eller fortsat accept</w:t>
            </w:r>
          </w:p>
        </w:tc>
      </w:tr>
      <w:tr>
        <w:tc>
          <w:tcPr>
            <w:tcW w:type="dxa" w:w="1296"/>
            <w:tcMar>
              <w:top w:w="90" w:type="dxa"/>
              <w:start w:w="120" w:type="dxa"/>
              <w:bottom w:w="90" w:type="dxa"/>
              <w:end w:w="120" w:type="dxa"/>
            </w:tcMar>
            <w:vAlign w:val="center"/>
          </w:tcPr>
          <w:p>
            <w:pPr>
              <w:shd w:fill="F7F9FA"/>
              <w:spacing w:after="0" w:line="259" w:lineRule="auto"/>
            </w:pPr>
            <w:r>
              <w:rPr>
                <w:sz w:val="15"/>
              </w:rPr>
              <w:t>10. Revision</w:t>
            </w:r>
          </w:p>
        </w:tc>
        <w:tc>
          <w:tcPr>
            <w:tcW w:type="dxa" w:w="1944"/>
            <w:tcMar>
              <w:top w:w="90" w:type="dxa"/>
              <w:start w:w="120" w:type="dxa"/>
              <w:bottom w:w="90" w:type="dxa"/>
              <w:end w:w="120" w:type="dxa"/>
            </w:tcMar>
            <w:vAlign w:val="center"/>
          </w:tcPr>
          <w:p>
            <w:pPr>
              <w:shd w:fill="F7F9FA"/>
              <w:spacing w:after="0" w:line="259" w:lineRule="auto"/>
            </w:pPr>
            <w:r>
              <w:rPr>
                <w:sz w:val="15"/>
              </w:rPr>
              <w:t>Change Proposal</w:t>
            </w:r>
          </w:p>
        </w:tc>
        <w:tc>
          <w:tcPr>
            <w:tcW w:type="dxa" w:w="3672"/>
            <w:tcMar>
              <w:top w:w="90" w:type="dxa"/>
              <w:start w:w="120" w:type="dxa"/>
              <w:bottom w:w="90" w:type="dxa"/>
              <w:end w:w="120" w:type="dxa"/>
            </w:tcMar>
            <w:vAlign w:val="center"/>
          </w:tcPr>
          <w:p>
            <w:pPr>
              <w:shd w:fill="F7F9FA"/>
              <w:spacing w:after="0" w:line="259" w:lineRule="auto"/>
            </w:pPr>
            <w:r>
              <w:rPr>
                <w:sz w:val="15"/>
              </w:rPr>
              <w:t>Opdatering, rollback, retire eller ny forskning</w:t>
            </w:r>
          </w:p>
        </w:tc>
        <w:tc>
          <w:tcPr>
            <w:tcW w:type="dxa" w:w="2448"/>
            <w:tcMar>
              <w:top w:w="90" w:type="dxa"/>
              <w:start w:w="120" w:type="dxa"/>
              <w:bottom w:w="90" w:type="dxa"/>
              <w:end w:w="120" w:type="dxa"/>
            </w:tcMar>
            <w:vAlign w:val="center"/>
          </w:tcPr>
          <w:p>
            <w:pPr>
              <w:shd w:fill="F7F9FA"/>
              <w:spacing w:after="0" w:line="259" w:lineRule="auto"/>
            </w:pPr>
            <w:r>
              <w:rPr>
                <w:sz w:val="15"/>
              </w:rPr>
              <w:t>Styringskæden er konsistent igen</w:t>
            </w:r>
          </w:p>
        </w:tc>
      </w:tr>
    </w:tbl>
    <w:p>
      <w:pPr>
        <w:spacing w:after="0"/>
      </w:pPr>
    </w:p>
    <w:p>
      <w:pPr>
        <w:spacing w:before="100" w:after="180"/>
        <w:ind w:left="173" w:right="173"/>
        <w:shd w:fill="EEF3F6"/>
      </w:pPr>
      <w:r>
        <w:rPr>
          <w:b/>
          <w:color w:val="15324A"/>
        </w:rPr>
        <w:t xml:space="preserve">Ingen spring: </w:t>
      </w:r>
      <w:r>
        <w:t>Et produktkrav må ikke opstå direkte fra en løs observation eller en teknisk mulighed. Manglende mellemled skal enten udfyldes eller dokumenteres som eksplicit begrænset eksperiment.</w:t>
      </w:r>
    </w:p>
    <w:p>
      <w:r>
        <w:br w:type="page"/>
      </w:r>
    </w:p>
    <w:p>
      <w:pPr>
        <w:spacing w:after="60"/>
      </w:pPr>
      <w:r>
        <w:rPr>
          <w:b/>
          <w:color w:val="667085"/>
          <w:sz w:val="18"/>
        </w:rPr>
        <w:t>HVEM MÅ REFERERE TIL HVEM?</w:t>
      </w:r>
    </w:p>
    <w:p>
      <w:pPr>
        <w:pStyle w:val="Heading1"/>
      </w:pPr>
      <w:r>
        <w:t>5. Referenceregler</w:t>
      </w:r>
    </w:p>
    <w:tbl>
      <w:tblPr>
        <w:tblW w:type="dxa" w:w="9360"/>
        <w:jc w:val="left"/>
        <w:tblLayout w:type="fixed"/>
        <w:tblLook w:firstColumn="1" w:firstRow="1" w:lastColumn="0" w:lastRow="0" w:noHBand="0" w:noVBand="1" w:val="04A0"/>
        <w:tblInd w:w="120" w:type="dxa"/>
      </w:tblPr>
      <w:tblGrid>
        <w:gridCol w:w="1656"/>
        <w:gridCol w:w="2592"/>
        <w:gridCol w:w="2520"/>
        <w:gridCol w:w="2592"/>
      </w:tblGrid>
      <w:tr>
        <w:trPr>
          <w:tblHeader/>
        </w:trPr>
        <w:tc>
          <w:tcPr>
            <w:tcW w:type="dxa" w:w="1656"/>
            <w:tcMar>
              <w:top w:w="90" w:type="dxa"/>
              <w:start w:w="120" w:type="dxa"/>
              <w:bottom w:w="90" w:type="dxa"/>
              <w:end w:w="120" w:type="dxa"/>
            </w:tcMar>
            <w:vAlign w:val="center"/>
          </w:tcPr>
          <w:p>
            <w:pPr>
              <w:shd w:fill="DCE6EB"/>
            </w:pPr>
            <w:r>
              <w:rPr>
                <w:b/>
                <w:color w:val="15324A"/>
                <w:sz w:val="16"/>
              </w:rPr>
              <w:t>Fra</w:t>
            </w:r>
          </w:p>
        </w:tc>
        <w:tc>
          <w:tcPr>
            <w:tcW w:type="dxa" w:w="2592"/>
            <w:tcMar>
              <w:top w:w="90" w:type="dxa"/>
              <w:start w:w="120" w:type="dxa"/>
              <w:bottom w:w="90" w:type="dxa"/>
              <w:end w:w="120" w:type="dxa"/>
            </w:tcMar>
            <w:vAlign w:val="center"/>
          </w:tcPr>
          <w:p>
            <w:pPr>
              <w:shd w:fill="DCE6EB"/>
            </w:pPr>
            <w:r>
              <w:rPr>
                <w:b/>
                <w:color w:val="15324A"/>
                <w:sz w:val="16"/>
              </w:rPr>
              <w:t>SKAL referere til</w:t>
            </w:r>
          </w:p>
        </w:tc>
        <w:tc>
          <w:tcPr>
            <w:tcW w:type="dxa" w:w="2520"/>
            <w:tcMar>
              <w:top w:w="90" w:type="dxa"/>
              <w:start w:w="120" w:type="dxa"/>
              <w:bottom w:w="90" w:type="dxa"/>
              <w:end w:w="120" w:type="dxa"/>
            </w:tcMar>
            <w:vAlign w:val="center"/>
          </w:tcPr>
          <w:p>
            <w:pPr>
              <w:shd w:fill="DCE6EB"/>
            </w:pPr>
            <w:r>
              <w:rPr>
                <w:b/>
                <w:color w:val="15324A"/>
                <w:sz w:val="16"/>
              </w:rPr>
              <w:t>KAN referere til</w:t>
            </w:r>
          </w:p>
        </w:tc>
        <w:tc>
          <w:tcPr>
            <w:tcW w:type="dxa" w:w="2592"/>
            <w:tcMar>
              <w:top w:w="90" w:type="dxa"/>
              <w:start w:w="120" w:type="dxa"/>
              <w:bottom w:w="90" w:type="dxa"/>
              <w:end w:w="120" w:type="dxa"/>
            </w:tcMar>
            <w:vAlign w:val="center"/>
          </w:tcPr>
          <w:p>
            <w:pPr>
              <w:shd w:fill="DCE6EB"/>
            </w:pPr>
            <w:r>
              <w:rPr>
                <w:b/>
                <w:color w:val="15324A"/>
                <w:sz w:val="16"/>
              </w:rPr>
              <w:t>MÅ IKKE bero alene på</w:t>
            </w:r>
          </w:p>
        </w:tc>
      </w:tr>
      <w:tr>
        <w:tc>
          <w:tcPr>
            <w:tcW w:type="dxa" w:w="1656"/>
            <w:tcMar>
              <w:top w:w="90" w:type="dxa"/>
              <w:start w:w="120" w:type="dxa"/>
              <w:bottom w:w="90" w:type="dxa"/>
              <w:end w:w="120" w:type="dxa"/>
            </w:tcMar>
            <w:vAlign w:val="center"/>
          </w:tcPr>
          <w:p>
            <w:pPr>
              <w:spacing w:after="0" w:line="259" w:lineRule="auto"/>
            </w:pPr>
            <w:r>
              <w:rPr>
                <w:sz w:val="16"/>
              </w:rPr>
              <w:t>Position Paper</w:t>
            </w:r>
          </w:p>
        </w:tc>
        <w:tc>
          <w:tcPr>
            <w:tcW w:type="dxa" w:w="2592"/>
            <w:tcMar>
              <w:top w:w="90" w:type="dxa"/>
              <w:start w:w="120" w:type="dxa"/>
              <w:bottom w:w="90" w:type="dxa"/>
              <w:end w:w="120" w:type="dxa"/>
            </w:tcMar>
            <w:vAlign w:val="center"/>
          </w:tcPr>
          <w:p>
            <w:pPr>
              <w:spacing w:after="0" w:line="259" w:lineRule="auto"/>
            </w:pPr>
            <w:r>
              <w:rPr>
                <w:sz w:val="16"/>
              </w:rPr>
              <w:t>Constitution/LEX, kilder</w:t>
            </w:r>
          </w:p>
        </w:tc>
        <w:tc>
          <w:tcPr>
            <w:tcW w:type="dxa" w:w="2520"/>
            <w:tcMar>
              <w:top w:w="90" w:type="dxa"/>
              <w:start w:w="120" w:type="dxa"/>
              <w:bottom w:w="90" w:type="dxa"/>
              <w:end w:w="120" w:type="dxa"/>
            </w:tcMar>
            <w:vAlign w:val="center"/>
          </w:tcPr>
          <w:p>
            <w:pPr>
              <w:spacing w:after="0" w:line="259" w:lineRule="auto"/>
            </w:pPr>
            <w:r>
              <w:rPr>
                <w:sz w:val="16"/>
              </w:rPr>
              <w:t>andre PP, ILR, RA</w:t>
            </w:r>
          </w:p>
        </w:tc>
        <w:tc>
          <w:tcPr>
            <w:tcW w:type="dxa" w:w="2592"/>
            <w:tcMar>
              <w:top w:w="90" w:type="dxa"/>
              <w:start w:w="120" w:type="dxa"/>
              <w:bottom w:w="90" w:type="dxa"/>
              <w:end w:w="120" w:type="dxa"/>
            </w:tcMar>
            <w:vAlign w:val="center"/>
          </w:tcPr>
          <w:p>
            <w:pPr>
              <w:spacing w:after="0" w:line="259" w:lineRule="auto"/>
            </w:pPr>
            <w:r>
              <w:rPr>
                <w:sz w:val="16"/>
              </w:rPr>
              <w:t>produktønsker</w:t>
            </w:r>
          </w:p>
        </w:tc>
      </w:tr>
      <w:tr>
        <w:tc>
          <w:tcPr>
            <w:tcW w:type="dxa" w:w="1656"/>
            <w:tcMar>
              <w:top w:w="90" w:type="dxa"/>
              <w:start w:w="120" w:type="dxa"/>
              <w:bottom w:w="90" w:type="dxa"/>
              <w:end w:w="120" w:type="dxa"/>
            </w:tcMar>
            <w:vAlign w:val="center"/>
          </w:tcPr>
          <w:p>
            <w:pPr>
              <w:shd w:fill="F7F9FA"/>
              <w:spacing w:after="0" w:line="259" w:lineRule="auto"/>
            </w:pPr>
            <w:r>
              <w:rPr>
                <w:sz w:val="16"/>
              </w:rPr>
              <w:t>Design Principle</w:t>
            </w:r>
          </w:p>
        </w:tc>
        <w:tc>
          <w:tcPr>
            <w:tcW w:type="dxa" w:w="2592"/>
            <w:tcMar>
              <w:top w:w="90" w:type="dxa"/>
              <w:start w:w="120" w:type="dxa"/>
              <w:bottom w:w="90" w:type="dxa"/>
              <w:end w:w="120" w:type="dxa"/>
            </w:tcMar>
            <w:vAlign w:val="center"/>
          </w:tcPr>
          <w:p>
            <w:pPr>
              <w:shd w:fill="F7F9FA"/>
              <w:spacing w:after="0" w:line="259" w:lineRule="auto"/>
            </w:pPr>
            <w:r>
              <w:rPr>
                <w:sz w:val="16"/>
              </w:rPr>
              <w:t>Constitution, relevant PP</w:t>
            </w:r>
          </w:p>
        </w:tc>
        <w:tc>
          <w:tcPr>
            <w:tcW w:type="dxa" w:w="2520"/>
            <w:tcMar>
              <w:top w:w="90" w:type="dxa"/>
              <w:start w:w="120" w:type="dxa"/>
              <w:bottom w:w="90" w:type="dxa"/>
              <w:end w:w="120" w:type="dxa"/>
            </w:tcMar>
            <w:vAlign w:val="center"/>
          </w:tcPr>
          <w:p>
            <w:pPr>
              <w:shd w:fill="F7F9FA"/>
              <w:spacing w:after="0" w:line="259" w:lineRule="auto"/>
            </w:pPr>
            <w:r>
              <w:rPr>
                <w:sz w:val="16"/>
              </w:rPr>
              <w:t>LEX, ILR, brugerforskning</w:t>
            </w:r>
          </w:p>
        </w:tc>
        <w:tc>
          <w:tcPr>
            <w:tcW w:type="dxa" w:w="2592"/>
            <w:tcMar>
              <w:top w:w="90" w:type="dxa"/>
              <w:start w:w="120" w:type="dxa"/>
              <w:bottom w:w="90" w:type="dxa"/>
              <w:end w:w="120" w:type="dxa"/>
            </w:tcMar>
            <w:vAlign w:val="center"/>
          </w:tcPr>
          <w:p>
            <w:pPr>
              <w:shd w:fill="F7F9FA"/>
              <w:spacing w:after="0" w:line="259" w:lineRule="auto"/>
            </w:pPr>
            <w:r>
              <w:rPr>
                <w:sz w:val="16"/>
              </w:rPr>
              <w:t>anekdote eller enkelt feature</w:t>
            </w:r>
          </w:p>
        </w:tc>
      </w:tr>
      <w:tr>
        <w:tc>
          <w:tcPr>
            <w:tcW w:type="dxa" w:w="1656"/>
            <w:tcMar>
              <w:top w:w="90" w:type="dxa"/>
              <w:start w:w="120" w:type="dxa"/>
              <w:bottom w:w="90" w:type="dxa"/>
              <w:end w:w="120" w:type="dxa"/>
            </w:tcMar>
            <w:vAlign w:val="center"/>
          </w:tcPr>
          <w:p>
            <w:pPr>
              <w:spacing w:after="0" w:line="259" w:lineRule="auto"/>
            </w:pPr>
            <w:r>
              <w:rPr>
                <w:sz w:val="16"/>
              </w:rPr>
              <w:t>ADR</w:t>
            </w:r>
          </w:p>
        </w:tc>
        <w:tc>
          <w:tcPr>
            <w:tcW w:type="dxa" w:w="2592"/>
            <w:tcMar>
              <w:top w:w="90" w:type="dxa"/>
              <w:start w:w="120" w:type="dxa"/>
              <w:bottom w:w="90" w:type="dxa"/>
              <w:end w:w="120" w:type="dxa"/>
            </w:tcMar>
            <w:vAlign w:val="center"/>
          </w:tcPr>
          <w:p>
            <w:pPr>
              <w:spacing w:after="0" w:line="259" w:lineRule="auto"/>
            </w:pPr>
            <w:r>
              <w:rPr>
                <w:sz w:val="16"/>
              </w:rPr>
              <w:t>DP/PP/CON, LEX</w:t>
            </w:r>
          </w:p>
        </w:tc>
        <w:tc>
          <w:tcPr>
            <w:tcW w:type="dxa" w:w="2520"/>
            <w:tcMar>
              <w:top w:w="90" w:type="dxa"/>
              <w:start w:w="120" w:type="dxa"/>
              <w:bottom w:w="90" w:type="dxa"/>
              <w:end w:w="120" w:type="dxa"/>
            </w:tcMar>
            <w:vAlign w:val="center"/>
          </w:tcPr>
          <w:p>
            <w:pPr>
              <w:spacing w:after="0" w:line="259" w:lineRule="auto"/>
            </w:pPr>
            <w:r>
              <w:rPr>
                <w:sz w:val="16"/>
              </w:rPr>
              <w:t>andre ADR, benchmarks, CSC</w:t>
            </w:r>
          </w:p>
        </w:tc>
        <w:tc>
          <w:tcPr>
            <w:tcW w:type="dxa" w:w="2592"/>
            <w:tcMar>
              <w:top w:w="90" w:type="dxa"/>
              <w:start w:w="120" w:type="dxa"/>
              <w:bottom w:w="90" w:type="dxa"/>
              <w:end w:w="120" w:type="dxa"/>
            </w:tcMar>
            <w:vAlign w:val="center"/>
          </w:tcPr>
          <w:p>
            <w:pPr>
              <w:spacing w:after="0" w:line="259" w:lineRule="auto"/>
            </w:pPr>
            <w:r>
              <w:rPr>
                <w:sz w:val="16"/>
              </w:rPr>
              <w:t>leverandørpåstand</w:t>
            </w:r>
          </w:p>
        </w:tc>
      </w:tr>
      <w:tr>
        <w:tc>
          <w:tcPr>
            <w:tcW w:type="dxa" w:w="1656"/>
            <w:tcMar>
              <w:top w:w="90" w:type="dxa"/>
              <w:start w:w="120" w:type="dxa"/>
              <w:bottom w:w="90" w:type="dxa"/>
              <w:end w:w="120" w:type="dxa"/>
            </w:tcMar>
            <w:vAlign w:val="center"/>
          </w:tcPr>
          <w:p>
            <w:pPr>
              <w:shd w:fill="F7F9FA"/>
              <w:spacing w:after="0" w:line="259" w:lineRule="auto"/>
            </w:pPr>
            <w:r>
              <w:rPr>
                <w:sz w:val="16"/>
              </w:rPr>
              <w:t>PRD</w:t>
            </w:r>
          </w:p>
        </w:tc>
        <w:tc>
          <w:tcPr>
            <w:tcW w:type="dxa" w:w="2592"/>
            <w:tcMar>
              <w:top w:w="90" w:type="dxa"/>
              <w:start w:w="120" w:type="dxa"/>
              <w:bottom w:w="90" w:type="dxa"/>
              <w:end w:w="120" w:type="dxa"/>
            </w:tcMar>
            <w:vAlign w:val="center"/>
          </w:tcPr>
          <w:p>
            <w:pPr>
              <w:shd w:fill="F7F9FA"/>
              <w:spacing w:after="0" w:line="259" w:lineRule="auto"/>
            </w:pPr>
            <w:r>
              <w:rPr>
                <w:sz w:val="16"/>
              </w:rPr>
              <w:t>DP + ADR + CSC/EP efter risiko</w:t>
            </w:r>
          </w:p>
        </w:tc>
        <w:tc>
          <w:tcPr>
            <w:tcW w:type="dxa" w:w="2520"/>
            <w:tcMar>
              <w:top w:w="90" w:type="dxa"/>
              <w:start w:w="120" w:type="dxa"/>
              <w:bottom w:w="90" w:type="dxa"/>
              <w:end w:w="120" w:type="dxa"/>
            </w:tcMar>
            <w:vAlign w:val="center"/>
          </w:tcPr>
          <w:p>
            <w:pPr>
              <w:shd w:fill="F7F9FA"/>
              <w:spacing w:after="0" w:line="259" w:lineRule="auto"/>
            </w:pPr>
            <w:r>
              <w:rPr>
                <w:sz w:val="16"/>
              </w:rPr>
              <w:t>PP, LEX, brugerindsigt</w:t>
            </w:r>
          </w:p>
        </w:tc>
        <w:tc>
          <w:tcPr>
            <w:tcW w:type="dxa" w:w="2592"/>
            <w:tcMar>
              <w:top w:w="90" w:type="dxa"/>
              <w:start w:w="120" w:type="dxa"/>
              <w:bottom w:w="90" w:type="dxa"/>
              <w:end w:w="120" w:type="dxa"/>
            </w:tcMar>
            <w:vAlign w:val="center"/>
          </w:tcPr>
          <w:p>
            <w:pPr>
              <w:shd w:fill="F7F9FA"/>
              <w:spacing w:after="0" w:line="259" w:lineRule="auto"/>
            </w:pPr>
            <w:r>
              <w:rPr>
                <w:sz w:val="16"/>
              </w:rPr>
              <w:t>CON alene uden mellemled</w:t>
            </w:r>
          </w:p>
        </w:tc>
      </w:tr>
      <w:tr>
        <w:tc>
          <w:tcPr>
            <w:tcW w:type="dxa" w:w="1656"/>
            <w:tcMar>
              <w:top w:w="90" w:type="dxa"/>
              <w:start w:w="120" w:type="dxa"/>
              <w:bottom w:w="90" w:type="dxa"/>
              <w:end w:w="120" w:type="dxa"/>
            </w:tcMar>
            <w:vAlign w:val="center"/>
          </w:tcPr>
          <w:p>
            <w:pPr>
              <w:spacing w:after="0" w:line="259" w:lineRule="auto"/>
            </w:pPr>
            <w:r>
              <w:rPr>
                <w:sz w:val="16"/>
              </w:rPr>
              <w:t>Safety Case</w:t>
            </w:r>
          </w:p>
        </w:tc>
        <w:tc>
          <w:tcPr>
            <w:tcW w:type="dxa" w:w="2592"/>
            <w:tcMar>
              <w:top w:w="90" w:type="dxa"/>
              <w:start w:w="120" w:type="dxa"/>
              <w:bottom w:w="90" w:type="dxa"/>
              <w:end w:w="120" w:type="dxa"/>
            </w:tcMar>
            <w:vAlign w:val="center"/>
          </w:tcPr>
          <w:p>
            <w:pPr>
              <w:spacing w:after="0" w:line="259" w:lineRule="auto"/>
            </w:pPr>
            <w:r>
              <w:rPr>
                <w:sz w:val="16"/>
              </w:rPr>
              <w:t>CON/GOV, hazard-log, ADR, EP</w:t>
            </w:r>
          </w:p>
        </w:tc>
        <w:tc>
          <w:tcPr>
            <w:tcW w:type="dxa" w:w="2520"/>
            <w:tcMar>
              <w:top w:w="90" w:type="dxa"/>
              <w:start w:w="120" w:type="dxa"/>
              <w:bottom w:w="90" w:type="dxa"/>
              <w:end w:w="120" w:type="dxa"/>
            </w:tcMar>
            <w:vAlign w:val="center"/>
          </w:tcPr>
          <w:p>
            <w:pPr>
              <w:spacing w:after="0" w:line="259" w:lineRule="auto"/>
            </w:pPr>
            <w:r>
              <w:rPr>
                <w:sz w:val="16"/>
              </w:rPr>
              <w:t>ILR, standarder</w:t>
            </w:r>
          </w:p>
        </w:tc>
        <w:tc>
          <w:tcPr>
            <w:tcW w:type="dxa" w:w="2592"/>
            <w:tcMar>
              <w:top w:w="90" w:type="dxa"/>
              <w:start w:w="120" w:type="dxa"/>
              <w:bottom w:w="90" w:type="dxa"/>
              <w:end w:w="120" w:type="dxa"/>
            </w:tcMar>
            <w:vAlign w:val="center"/>
          </w:tcPr>
          <w:p>
            <w:pPr>
              <w:spacing w:after="0" w:line="259" w:lineRule="auto"/>
            </w:pPr>
            <w:r>
              <w:rPr>
                <w:sz w:val="16"/>
              </w:rPr>
              <w:t>generel ‘human oversight’</w:t>
            </w:r>
          </w:p>
        </w:tc>
      </w:tr>
      <w:tr>
        <w:tc>
          <w:tcPr>
            <w:tcW w:type="dxa" w:w="1656"/>
            <w:tcMar>
              <w:top w:w="90" w:type="dxa"/>
              <w:start w:w="120" w:type="dxa"/>
              <w:bottom w:w="90" w:type="dxa"/>
              <w:end w:w="120" w:type="dxa"/>
            </w:tcMar>
            <w:vAlign w:val="center"/>
          </w:tcPr>
          <w:p>
            <w:pPr>
              <w:shd w:fill="F7F9FA"/>
              <w:spacing w:after="0" w:line="259" w:lineRule="auto"/>
            </w:pPr>
            <w:r>
              <w:rPr>
                <w:sz w:val="16"/>
              </w:rPr>
              <w:t>Release Dossier</w:t>
            </w:r>
          </w:p>
        </w:tc>
        <w:tc>
          <w:tcPr>
            <w:tcW w:type="dxa" w:w="2592"/>
            <w:tcMar>
              <w:top w:w="90" w:type="dxa"/>
              <w:start w:w="120" w:type="dxa"/>
              <w:bottom w:w="90" w:type="dxa"/>
              <w:end w:w="120" w:type="dxa"/>
            </w:tcMar>
            <w:vAlign w:val="center"/>
          </w:tcPr>
          <w:p>
            <w:pPr>
              <w:shd w:fill="F7F9FA"/>
              <w:spacing w:after="0" w:line="259" w:lineRule="auto"/>
            </w:pPr>
            <w:r>
              <w:rPr>
                <w:sz w:val="16"/>
              </w:rPr>
              <w:t>PRD, CSC, EP, ADR, testbevis</w:t>
            </w:r>
          </w:p>
        </w:tc>
        <w:tc>
          <w:tcPr>
            <w:tcW w:type="dxa" w:w="2520"/>
            <w:tcMar>
              <w:top w:w="90" w:type="dxa"/>
              <w:start w:w="120" w:type="dxa"/>
              <w:bottom w:w="90" w:type="dxa"/>
              <w:end w:w="120" w:type="dxa"/>
            </w:tcMar>
            <w:vAlign w:val="center"/>
          </w:tcPr>
          <w:p>
            <w:pPr>
              <w:shd w:fill="F7F9FA"/>
              <w:spacing w:after="0" w:line="259" w:lineRule="auto"/>
            </w:pPr>
            <w:r>
              <w:rPr>
                <w:sz w:val="16"/>
              </w:rPr>
              <w:t>ILR, RA</w:t>
            </w:r>
          </w:p>
        </w:tc>
        <w:tc>
          <w:tcPr>
            <w:tcW w:type="dxa" w:w="2592"/>
            <w:tcMar>
              <w:top w:w="90" w:type="dxa"/>
              <w:start w:w="120" w:type="dxa"/>
              <w:bottom w:w="90" w:type="dxa"/>
              <w:end w:w="120" w:type="dxa"/>
            </w:tcMar>
            <w:vAlign w:val="center"/>
          </w:tcPr>
          <w:p>
            <w:pPr>
              <w:shd w:fill="F7F9FA"/>
              <w:spacing w:after="0" w:line="259" w:lineRule="auto"/>
            </w:pPr>
            <w:r>
              <w:rPr>
                <w:sz w:val="16"/>
              </w:rPr>
              <w:t>teamets egen vurdering uden evidens</w:t>
            </w:r>
          </w:p>
        </w:tc>
      </w:tr>
      <w:tr>
        <w:tc>
          <w:tcPr>
            <w:tcW w:type="dxa" w:w="1656"/>
            <w:tcMar>
              <w:top w:w="90" w:type="dxa"/>
              <w:start w:w="120" w:type="dxa"/>
              <w:bottom w:w="90" w:type="dxa"/>
              <w:end w:w="120" w:type="dxa"/>
            </w:tcMar>
            <w:vAlign w:val="center"/>
          </w:tcPr>
          <w:p>
            <w:pPr>
              <w:spacing w:after="0" w:line="259" w:lineRule="auto"/>
            </w:pPr>
            <w:r>
              <w:rPr>
                <w:sz w:val="16"/>
              </w:rPr>
              <w:t>ILR</w:t>
            </w:r>
          </w:p>
        </w:tc>
        <w:tc>
          <w:tcPr>
            <w:tcW w:type="dxa" w:w="2592"/>
            <w:tcMar>
              <w:top w:w="90" w:type="dxa"/>
              <w:start w:w="120" w:type="dxa"/>
              <w:bottom w:w="90" w:type="dxa"/>
              <w:end w:w="120" w:type="dxa"/>
            </w:tcMar>
            <w:vAlign w:val="center"/>
          </w:tcPr>
          <w:p>
            <w:pPr>
              <w:spacing w:after="0" w:line="259" w:lineRule="auto"/>
            </w:pPr>
            <w:r>
              <w:rPr>
                <w:sz w:val="16"/>
              </w:rPr>
              <w:t>release/model/evidence-version</w:t>
            </w:r>
          </w:p>
        </w:tc>
        <w:tc>
          <w:tcPr>
            <w:tcW w:type="dxa" w:w="2520"/>
            <w:tcMar>
              <w:top w:w="90" w:type="dxa"/>
              <w:start w:w="120" w:type="dxa"/>
              <w:bottom w:w="90" w:type="dxa"/>
              <w:end w:w="120" w:type="dxa"/>
            </w:tcMar>
            <w:vAlign w:val="center"/>
          </w:tcPr>
          <w:p>
            <w:pPr>
              <w:spacing w:after="0" w:line="259" w:lineRule="auto"/>
            </w:pPr>
            <w:r>
              <w:rPr>
                <w:sz w:val="16"/>
              </w:rPr>
              <w:t>PRD, ADR, metrics</w:t>
            </w:r>
          </w:p>
        </w:tc>
        <w:tc>
          <w:tcPr>
            <w:tcW w:type="dxa" w:w="2592"/>
            <w:tcMar>
              <w:top w:w="90" w:type="dxa"/>
              <w:start w:w="120" w:type="dxa"/>
              <w:bottom w:w="90" w:type="dxa"/>
              <w:end w:w="120" w:type="dxa"/>
            </w:tcMar>
            <w:vAlign w:val="center"/>
          </w:tcPr>
          <w:p>
            <w:pPr>
              <w:spacing w:after="0" w:line="259" w:lineRule="auto"/>
            </w:pPr>
            <w:r>
              <w:rPr>
                <w:sz w:val="16"/>
              </w:rPr>
              <w:t>hukommelse eller mundtlig forklaring</w:t>
            </w:r>
          </w:p>
        </w:tc>
      </w:tr>
    </w:tbl>
    <w:p>
      <w:pPr>
        <w:spacing w:after="0"/>
      </w:pPr>
    </w:p>
    <w:p>
      <w:pPr>
        <w:pStyle w:val="Heading2"/>
      </w:pPr>
      <w:r>
        <w:t>Bidirektionel sporbarhed</w:t>
      </w:r>
    </w:p>
    <w:p>
      <w:r>
        <w:rPr>
          <w:rFonts w:ascii="Calibri" w:hAnsi="Calibri"/>
          <w:i w:val="0"/>
          <w:sz w:val="22"/>
        </w:rPr>
        <w:t>Alle normative og klinisk betydende links SKAL kunne følges begge veje. Et krav skal kunne spores op til sin legitimerende norm; en norm skal kunne spores ned til de aktive krav, kontroller og målinger, der hævder at realisere den.</w:t>
      </w:r>
    </w:p>
    <w:p>
      <w:r>
        <w:br w:type="page"/>
      </w:r>
    </w:p>
    <w:p>
      <w:pPr>
        <w:spacing w:after="60"/>
      </w:pPr>
      <w:r>
        <w:rPr>
          <w:b/>
          <w:color w:val="667085"/>
          <w:sz w:val="18"/>
        </w:rPr>
        <w:t>DOKUMENTPROTOKOL</w:t>
      </w:r>
    </w:p>
    <w:p>
      <w:pPr>
        <w:pStyle w:val="Heading1"/>
      </w:pPr>
      <w:r>
        <w:t>6. Identitet, metadata og versionering</w:t>
      </w:r>
    </w:p>
    <w:tbl>
      <w:tblPr>
        <w:tblW w:type="dxa" w:w="9360"/>
        <w:jc w:val="left"/>
        <w:tblLayout w:type="fixed"/>
        <w:tblLook w:firstColumn="1" w:firstRow="1" w:lastColumn="0" w:lastRow="0" w:noHBand="0" w:noVBand="1" w:val="04A0"/>
        <w:tblInd w:w="120" w:type="dxa"/>
      </w:tblPr>
      <w:tblGrid>
        <w:gridCol w:w="1872"/>
        <w:gridCol w:w="7488"/>
      </w:tblGrid>
      <w:tr>
        <w:trPr>
          <w:tblHeader/>
        </w:trPr>
        <w:tc>
          <w:tcPr>
            <w:tcW w:type="dxa" w:w="1872"/>
            <w:tcMar>
              <w:top w:w="90" w:type="dxa"/>
              <w:start w:w="120" w:type="dxa"/>
              <w:bottom w:w="90" w:type="dxa"/>
              <w:end w:w="120" w:type="dxa"/>
            </w:tcMar>
            <w:vAlign w:val="center"/>
          </w:tcPr>
          <w:p>
            <w:pPr>
              <w:shd w:fill="DCE6EB"/>
            </w:pPr>
            <w:r>
              <w:rPr>
                <w:b/>
                <w:color w:val="15324A"/>
                <w:sz w:val="17"/>
              </w:rPr>
              <w:t>Felt</w:t>
            </w:r>
          </w:p>
        </w:tc>
        <w:tc>
          <w:tcPr>
            <w:tcW w:type="dxa" w:w="7488"/>
            <w:tcMar>
              <w:top w:w="90" w:type="dxa"/>
              <w:start w:w="120" w:type="dxa"/>
              <w:bottom w:w="90" w:type="dxa"/>
              <w:end w:w="120" w:type="dxa"/>
            </w:tcMar>
            <w:vAlign w:val="center"/>
          </w:tcPr>
          <w:p>
            <w:pPr>
              <w:shd w:fill="DCE6EB"/>
            </w:pPr>
            <w:r>
              <w:rPr>
                <w:b/>
                <w:color w:val="15324A"/>
                <w:sz w:val="17"/>
              </w:rPr>
              <w:t>Krav</w:t>
            </w:r>
          </w:p>
        </w:tc>
      </w:tr>
      <w:tr>
        <w:tc>
          <w:tcPr>
            <w:tcW w:type="dxa" w:w="1872"/>
            <w:tcMar>
              <w:top w:w="90" w:type="dxa"/>
              <w:start w:w="120" w:type="dxa"/>
              <w:bottom w:w="90" w:type="dxa"/>
              <w:end w:w="120" w:type="dxa"/>
            </w:tcMar>
            <w:vAlign w:val="center"/>
          </w:tcPr>
          <w:p>
            <w:pPr>
              <w:spacing w:after="0" w:line="259" w:lineRule="auto"/>
            </w:pPr>
            <w:r>
              <w:rPr>
                <w:sz w:val="17"/>
              </w:rPr>
              <w:t>ID</w:t>
            </w:r>
          </w:p>
        </w:tc>
        <w:tc>
          <w:tcPr>
            <w:tcW w:type="dxa" w:w="7488"/>
            <w:tcMar>
              <w:top w:w="90" w:type="dxa"/>
              <w:start w:w="120" w:type="dxa"/>
              <w:bottom w:w="90" w:type="dxa"/>
              <w:end w:w="120" w:type="dxa"/>
            </w:tcMar>
            <w:vAlign w:val="center"/>
          </w:tcPr>
          <w:p>
            <w:pPr>
              <w:spacing w:after="0" w:line="259" w:lineRule="auto"/>
            </w:pPr>
            <w:r>
              <w:rPr>
                <w:sz w:val="17"/>
              </w:rPr>
              <w:t>Typekode-løbenummer, fx PP-004 eller ADR-017. ID genbruges aldrig.</w:t>
            </w:r>
          </w:p>
        </w:tc>
      </w:tr>
      <w:tr>
        <w:tc>
          <w:tcPr>
            <w:tcW w:type="dxa" w:w="1872"/>
            <w:tcMar>
              <w:top w:w="90" w:type="dxa"/>
              <w:start w:w="120" w:type="dxa"/>
              <w:bottom w:w="90" w:type="dxa"/>
              <w:end w:w="120" w:type="dxa"/>
            </w:tcMar>
            <w:vAlign w:val="center"/>
          </w:tcPr>
          <w:p>
            <w:pPr>
              <w:shd w:fill="F7F9FA"/>
              <w:spacing w:after="0" w:line="259" w:lineRule="auto"/>
            </w:pPr>
            <w:r>
              <w:rPr>
                <w:sz w:val="17"/>
              </w:rPr>
              <w:t>Titel og scope</w:t>
            </w:r>
          </w:p>
        </w:tc>
        <w:tc>
          <w:tcPr>
            <w:tcW w:type="dxa" w:w="7488"/>
            <w:tcMar>
              <w:top w:w="90" w:type="dxa"/>
              <w:start w:w="120" w:type="dxa"/>
              <w:bottom w:w="90" w:type="dxa"/>
              <w:end w:w="120" w:type="dxa"/>
            </w:tcMar>
            <w:vAlign w:val="center"/>
          </w:tcPr>
          <w:p>
            <w:pPr>
              <w:shd w:fill="F7F9FA"/>
              <w:spacing w:after="0" w:line="259" w:lineRule="auto"/>
            </w:pPr>
            <w:r>
              <w:rPr>
                <w:sz w:val="17"/>
              </w:rPr>
              <w:t>Kort navn, berørte use cases, populationer, systemdele og eksplicit ikke-scope.</w:t>
            </w:r>
          </w:p>
        </w:tc>
      </w:tr>
      <w:tr>
        <w:tc>
          <w:tcPr>
            <w:tcW w:type="dxa" w:w="1872"/>
            <w:tcMar>
              <w:top w:w="90" w:type="dxa"/>
              <w:start w:w="120" w:type="dxa"/>
              <w:bottom w:w="90" w:type="dxa"/>
              <w:end w:w="120" w:type="dxa"/>
            </w:tcMar>
            <w:vAlign w:val="center"/>
          </w:tcPr>
          <w:p>
            <w:pPr>
              <w:spacing w:after="0" w:line="259" w:lineRule="auto"/>
            </w:pPr>
            <w:r>
              <w:rPr>
                <w:sz w:val="17"/>
              </w:rPr>
              <w:t>Status</w:t>
            </w:r>
          </w:p>
        </w:tc>
        <w:tc>
          <w:tcPr>
            <w:tcW w:type="dxa" w:w="7488"/>
            <w:tcMar>
              <w:top w:w="90" w:type="dxa"/>
              <w:start w:w="120" w:type="dxa"/>
              <w:bottom w:w="90" w:type="dxa"/>
              <w:end w:w="120" w:type="dxa"/>
            </w:tcMar>
            <w:vAlign w:val="center"/>
          </w:tcPr>
          <w:p>
            <w:pPr>
              <w:spacing w:after="0" w:line="259" w:lineRule="auto"/>
            </w:pPr>
            <w:r>
              <w:rPr>
                <w:sz w:val="17"/>
              </w:rPr>
              <w:t>NOTE, DRAFT, REVIEW, RATIFIED, ACTIVE, SUPERSEDED, RETIRED eller CONTESTED.</w:t>
            </w:r>
          </w:p>
        </w:tc>
      </w:tr>
      <w:tr>
        <w:tc>
          <w:tcPr>
            <w:tcW w:type="dxa" w:w="1872"/>
            <w:tcMar>
              <w:top w:w="90" w:type="dxa"/>
              <w:start w:w="120" w:type="dxa"/>
              <w:bottom w:w="90" w:type="dxa"/>
              <w:end w:w="120" w:type="dxa"/>
            </w:tcMar>
            <w:vAlign w:val="center"/>
          </w:tcPr>
          <w:p>
            <w:pPr>
              <w:shd w:fill="F7F9FA"/>
              <w:spacing w:after="0" w:line="259" w:lineRule="auto"/>
            </w:pPr>
            <w:r>
              <w:rPr>
                <w:sz w:val="17"/>
              </w:rPr>
              <w:t>Version</w:t>
            </w:r>
          </w:p>
        </w:tc>
        <w:tc>
          <w:tcPr>
            <w:tcW w:type="dxa" w:w="7488"/>
            <w:tcMar>
              <w:top w:w="90" w:type="dxa"/>
              <w:start w:w="120" w:type="dxa"/>
              <w:bottom w:w="90" w:type="dxa"/>
              <w:end w:w="120" w:type="dxa"/>
            </w:tcMar>
            <w:vAlign w:val="center"/>
          </w:tcPr>
          <w:p>
            <w:pPr>
              <w:shd w:fill="F7F9FA"/>
              <w:spacing w:after="0" w:line="259" w:lineRule="auto"/>
            </w:pPr>
            <w:r>
              <w:rPr>
                <w:sz w:val="17"/>
              </w:rPr>
              <w:t>Semantisk versionering: major ved normativ ændring, minor ved substantiel præcisering, patch ved redaktionel rettelse.</w:t>
            </w:r>
          </w:p>
        </w:tc>
      </w:tr>
      <w:tr>
        <w:tc>
          <w:tcPr>
            <w:tcW w:type="dxa" w:w="1872"/>
            <w:tcMar>
              <w:top w:w="90" w:type="dxa"/>
              <w:start w:w="120" w:type="dxa"/>
              <w:bottom w:w="90" w:type="dxa"/>
              <w:end w:w="120" w:type="dxa"/>
            </w:tcMar>
            <w:vAlign w:val="center"/>
          </w:tcPr>
          <w:p>
            <w:pPr>
              <w:spacing w:after="0" w:line="259" w:lineRule="auto"/>
            </w:pPr>
            <w:r>
              <w:rPr>
                <w:sz w:val="17"/>
              </w:rPr>
              <w:t>Ejere</w:t>
            </w:r>
          </w:p>
        </w:tc>
        <w:tc>
          <w:tcPr>
            <w:tcW w:type="dxa" w:w="7488"/>
            <w:tcMar>
              <w:top w:w="90" w:type="dxa"/>
              <w:start w:w="120" w:type="dxa"/>
              <w:bottom w:w="90" w:type="dxa"/>
              <w:end w:w="120" w:type="dxa"/>
            </w:tcMar>
            <w:vAlign w:val="center"/>
          </w:tcPr>
          <w:p>
            <w:pPr>
              <w:spacing w:after="0" w:line="259" w:lineRule="auto"/>
            </w:pPr>
            <w:r>
              <w:rPr>
                <w:sz w:val="17"/>
              </w:rPr>
              <w:t>En ansvarlig person og et godkendende organ; aldrig kun et teamnavn.</w:t>
            </w:r>
          </w:p>
        </w:tc>
      </w:tr>
      <w:tr>
        <w:tc>
          <w:tcPr>
            <w:tcW w:type="dxa" w:w="1872"/>
            <w:tcMar>
              <w:top w:w="90" w:type="dxa"/>
              <w:start w:w="120" w:type="dxa"/>
              <w:bottom w:w="90" w:type="dxa"/>
              <w:end w:w="120" w:type="dxa"/>
            </w:tcMar>
            <w:vAlign w:val="center"/>
          </w:tcPr>
          <w:p>
            <w:pPr>
              <w:shd w:fill="F7F9FA"/>
              <w:spacing w:after="0" w:line="259" w:lineRule="auto"/>
            </w:pPr>
            <w:r>
              <w:rPr>
                <w:sz w:val="17"/>
              </w:rPr>
              <w:t>Normative links</w:t>
            </w:r>
          </w:p>
        </w:tc>
        <w:tc>
          <w:tcPr>
            <w:tcW w:type="dxa" w:w="7488"/>
            <w:tcMar>
              <w:top w:w="90" w:type="dxa"/>
              <w:start w:w="120" w:type="dxa"/>
              <w:bottom w:w="90" w:type="dxa"/>
              <w:end w:w="120" w:type="dxa"/>
            </w:tcMar>
            <w:vAlign w:val="center"/>
          </w:tcPr>
          <w:p>
            <w:pPr>
              <w:shd w:fill="F7F9FA"/>
              <w:spacing w:after="0" w:line="259" w:lineRule="auto"/>
            </w:pPr>
            <w:r>
              <w:rPr>
                <w:sz w:val="17"/>
              </w:rPr>
              <w:t>Højere kilder, lavere implementeringer og kendte konflikter.</w:t>
            </w:r>
          </w:p>
        </w:tc>
      </w:tr>
      <w:tr>
        <w:tc>
          <w:tcPr>
            <w:tcW w:type="dxa" w:w="1872"/>
            <w:tcMar>
              <w:top w:w="90" w:type="dxa"/>
              <w:start w:w="120" w:type="dxa"/>
              <w:bottom w:w="90" w:type="dxa"/>
              <w:end w:w="120" w:type="dxa"/>
            </w:tcMar>
            <w:vAlign w:val="center"/>
          </w:tcPr>
          <w:p>
            <w:pPr>
              <w:spacing w:after="0" w:line="259" w:lineRule="auto"/>
            </w:pPr>
            <w:r>
              <w:rPr>
                <w:sz w:val="17"/>
              </w:rPr>
              <w:t>Evidens</w:t>
            </w:r>
          </w:p>
        </w:tc>
        <w:tc>
          <w:tcPr>
            <w:tcW w:type="dxa" w:w="7488"/>
            <w:tcMar>
              <w:top w:w="90" w:type="dxa"/>
              <w:start w:w="120" w:type="dxa"/>
              <w:bottom w:w="90" w:type="dxa"/>
              <w:end w:w="120" w:type="dxa"/>
            </w:tcMar>
            <w:vAlign w:val="center"/>
          </w:tcPr>
          <w:p>
            <w:pPr>
              <w:spacing w:after="0" w:line="259" w:lineRule="auto"/>
            </w:pPr>
            <w:r>
              <w:rPr>
                <w:sz w:val="17"/>
              </w:rPr>
              <w:t>Kilder, dato, population, styrke, usikkerhed og forventet review/udløb.</w:t>
            </w:r>
          </w:p>
        </w:tc>
      </w:tr>
      <w:tr>
        <w:tc>
          <w:tcPr>
            <w:tcW w:type="dxa" w:w="1872"/>
            <w:tcMar>
              <w:top w:w="90" w:type="dxa"/>
              <w:start w:w="120" w:type="dxa"/>
              <w:bottom w:w="90" w:type="dxa"/>
              <w:end w:w="120" w:type="dxa"/>
            </w:tcMar>
            <w:vAlign w:val="center"/>
          </w:tcPr>
          <w:p>
            <w:pPr>
              <w:shd w:fill="F7F9FA"/>
              <w:spacing w:after="0" w:line="259" w:lineRule="auto"/>
            </w:pPr>
            <w:r>
              <w:rPr>
                <w:sz w:val="17"/>
              </w:rPr>
              <w:t>Beslutningslog</w:t>
            </w:r>
          </w:p>
        </w:tc>
        <w:tc>
          <w:tcPr>
            <w:tcW w:type="dxa" w:w="7488"/>
            <w:tcMar>
              <w:top w:w="90" w:type="dxa"/>
              <w:start w:w="120" w:type="dxa"/>
              <w:bottom w:w="90" w:type="dxa"/>
              <w:end w:w="120" w:type="dxa"/>
            </w:tcMar>
            <w:vAlign w:val="center"/>
          </w:tcPr>
          <w:p>
            <w:pPr>
              <w:shd w:fill="F7F9FA"/>
              <w:spacing w:after="0" w:line="259" w:lineRule="auto"/>
            </w:pPr>
            <w:r>
              <w:rPr>
                <w:sz w:val="17"/>
              </w:rPr>
              <w:t>Dato, deltagere, dissens, begrundelse og afviste alternativer.</w:t>
            </w:r>
          </w:p>
        </w:tc>
      </w:tr>
      <w:tr>
        <w:tc>
          <w:tcPr>
            <w:tcW w:type="dxa" w:w="1872"/>
            <w:tcMar>
              <w:top w:w="90" w:type="dxa"/>
              <w:start w:w="120" w:type="dxa"/>
              <w:bottom w:w="90" w:type="dxa"/>
              <w:end w:w="120" w:type="dxa"/>
            </w:tcMar>
            <w:vAlign w:val="center"/>
          </w:tcPr>
          <w:p>
            <w:pPr>
              <w:spacing w:after="0" w:line="259" w:lineRule="auto"/>
            </w:pPr>
            <w:r>
              <w:rPr>
                <w:sz w:val="17"/>
              </w:rPr>
              <w:t>Review triggers</w:t>
            </w:r>
          </w:p>
        </w:tc>
        <w:tc>
          <w:tcPr>
            <w:tcW w:type="dxa" w:w="7488"/>
            <w:tcMar>
              <w:top w:w="90" w:type="dxa"/>
              <w:start w:w="120" w:type="dxa"/>
              <w:bottom w:w="90" w:type="dxa"/>
              <w:end w:w="120" w:type="dxa"/>
            </w:tcMar>
            <w:vAlign w:val="center"/>
          </w:tcPr>
          <w:p>
            <w:pPr>
              <w:spacing w:after="0" w:line="259" w:lineRule="auto"/>
            </w:pPr>
            <w:r>
              <w:rPr>
                <w:sz w:val="17"/>
              </w:rPr>
              <w:t>Dato samt hændelser, lovændringer, drift, ny evidens eller teknologisk skift.</w:t>
            </w:r>
          </w:p>
        </w:tc>
      </w:tr>
    </w:tbl>
    <w:p>
      <w:pPr>
        <w:spacing w:after="0"/>
      </w:pPr>
    </w:p>
    <w:p>
      <w:pPr>
        <w:pStyle w:val="Heading2"/>
      </w:pPr>
      <w:r>
        <w:t>Normativ diff</w:t>
      </w:r>
    </w:p>
    <w:p>
      <w:r>
        <w:rPr>
          <w:rFonts w:ascii="Calibri" w:hAnsi="Calibri"/>
          <w:i w:val="0"/>
          <w:sz w:val="22"/>
        </w:rPr>
        <w:t>Enhver major- eller minorændring SKAL indeholde en menneskeligt læsbar beskrivelse af, hvad der nu er tilladt, påkrævet eller forbudt, som ikke var det før. En tekstlig diff alene er utilstrækkelig.</w:t>
      </w:r>
    </w:p>
    <w:p>
      <w:r>
        <w:br w:type="page"/>
      </w:r>
    </w:p>
    <w:p>
      <w:pPr>
        <w:spacing w:after="60"/>
      </w:pPr>
      <w:r>
        <w:rPr>
          <w:b/>
          <w:color w:val="667085"/>
          <w:sz w:val="18"/>
        </w:rPr>
        <w:t>STABILITET EFTER LAG</w:t>
      </w:r>
    </w:p>
    <w:p>
      <w:pPr>
        <w:pStyle w:val="Heading1"/>
      </w:pPr>
      <w:r>
        <w:t>7. Dokumenternes livscyklus</w:t>
      </w:r>
    </w:p>
    <w:tbl>
      <w:tblPr>
        <w:tblW w:type="dxa" w:w="9360"/>
        <w:jc w:val="left"/>
        <w:tblLayout w:type="fixed"/>
        <w:tblLook w:firstColumn="1" w:firstRow="1" w:lastColumn="0" w:lastRow="0" w:noHBand="0" w:noVBand="1" w:val="04A0"/>
        <w:tblInd w:w="120" w:type="dxa"/>
      </w:tblPr>
      <w:tblGrid>
        <w:gridCol w:w="1944"/>
        <w:gridCol w:w="3384"/>
        <w:gridCol w:w="1944"/>
        <w:gridCol w:w="2088"/>
      </w:tblGrid>
      <w:tr>
        <w:trPr>
          <w:tblHeader/>
        </w:trPr>
        <w:tc>
          <w:tcPr>
            <w:tcW w:type="dxa" w:w="1944"/>
            <w:tcMar>
              <w:top w:w="90" w:type="dxa"/>
              <w:start w:w="120" w:type="dxa"/>
              <w:bottom w:w="90" w:type="dxa"/>
              <w:end w:w="120" w:type="dxa"/>
            </w:tcMar>
            <w:vAlign w:val="center"/>
          </w:tcPr>
          <w:p>
            <w:pPr>
              <w:shd w:fill="DCE6EB"/>
            </w:pPr>
            <w:r>
              <w:rPr>
                <w:b/>
                <w:color w:val="15324A"/>
                <w:sz w:val="17"/>
              </w:rPr>
              <w:t>Klasse</w:t>
            </w:r>
          </w:p>
        </w:tc>
        <w:tc>
          <w:tcPr>
            <w:tcW w:type="dxa" w:w="3384"/>
            <w:tcMar>
              <w:top w:w="90" w:type="dxa"/>
              <w:start w:w="120" w:type="dxa"/>
              <w:bottom w:w="90" w:type="dxa"/>
              <w:end w:w="120" w:type="dxa"/>
            </w:tcMar>
            <w:vAlign w:val="center"/>
          </w:tcPr>
          <w:p>
            <w:pPr>
              <w:shd w:fill="DCE6EB"/>
            </w:pPr>
            <w:r>
              <w:rPr>
                <w:b/>
                <w:color w:val="15324A"/>
                <w:sz w:val="17"/>
              </w:rPr>
              <w:t>Dokumenter</w:t>
            </w:r>
          </w:p>
        </w:tc>
        <w:tc>
          <w:tcPr>
            <w:tcW w:type="dxa" w:w="1944"/>
            <w:tcMar>
              <w:top w:w="90" w:type="dxa"/>
              <w:start w:w="120" w:type="dxa"/>
              <w:bottom w:w="90" w:type="dxa"/>
              <w:end w:w="120" w:type="dxa"/>
            </w:tcMar>
            <w:vAlign w:val="center"/>
          </w:tcPr>
          <w:p>
            <w:pPr>
              <w:shd w:fill="DCE6EB"/>
            </w:pPr>
            <w:r>
              <w:rPr>
                <w:b/>
                <w:color w:val="15324A"/>
                <w:sz w:val="17"/>
              </w:rPr>
              <w:t>Normal review</w:t>
            </w:r>
          </w:p>
        </w:tc>
        <w:tc>
          <w:tcPr>
            <w:tcW w:type="dxa" w:w="2088"/>
            <w:tcMar>
              <w:top w:w="90" w:type="dxa"/>
              <w:start w:w="120" w:type="dxa"/>
              <w:bottom w:w="90" w:type="dxa"/>
              <w:end w:w="120" w:type="dxa"/>
            </w:tcMar>
            <w:vAlign w:val="center"/>
          </w:tcPr>
          <w:p>
            <w:pPr>
              <w:shd w:fill="DCE6EB"/>
            </w:pPr>
            <w:r>
              <w:rPr>
                <w:b/>
                <w:color w:val="15324A"/>
                <w:sz w:val="17"/>
              </w:rPr>
              <w:t>Forventet levetid</w:t>
            </w:r>
          </w:p>
        </w:tc>
      </w:tr>
      <w:tr>
        <w:tc>
          <w:tcPr>
            <w:tcW w:type="dxa" w:w="1944"/>
            <w:tcMar>
              <w:top w:w="90" w:type="dxa"/>
              <w:start w:w="120" w:type="dxa"/>
              <w:bottom w:w="90" w:type="dxa"/>
              <w:end w:w="120" w:type="dxa"/>
            </w:tcMar>
            <w:vAlign w:val="center"/>
          </w:tcPr>
          <w:p>
            <w:pPr>
              <w:spacing w:after="0" w:line="259" w:lineRule="auto"/>
            </w:pPr>
            <w:r>
              <w:rPr>
                <w:sz w:val="17"/>
              </w:rPr>
              <w:t>Næsten uforanderlig</w:t>
            </w:r>
          </w:p>
        </w:tc>
        <w:tc>
          <w:tcPr>
            <w:tcW w:type="dxa" w:w="3384"/>
            <w:tcMar>
              <w:top w:w="90" w:type="dxa"/>
              <w:start w:w="120" w:type="dxa"/>
              <w:bottom w:w="90" w:type="dxa"/>
              <w:end w:w="120" w:type="dxa"/>
            </w:tcMar>
            <w:vAlign w:val="center"/>
          </w:tcPr>
          <w:p>
            <w:pPr>
              <w:spacing w:after="0" w:line="259" w:lineRule="auto"/>
            </w:pPr>
            <w:r>
              <w:rPr>
                <w:sz w:val="17"/>
              </w:rPr>
              <w:t>Constitution</w:t>
            </w:r>
          </w:p>
        </w:tc>
        <w:tc>
          <w:tcPr>
            <w:tcW w:type="dxa" w:w="1944"/>
            <w:tcMar>
              <w:top w:w="90" w:type="dxa"/>
              <w:start w:w="120" w:type="dxa"/>
              <w:bottom w:w="90" w:type="dxa"/>
              <w:end w:w="120" w:type="dxa"/>
            </w:tcMar>
            <w:vAlign w:val="center"/>
          </w:tcPr>
          <w:p>
            <w:pPr>
              <w:spacing w:after="0" w:line="259" w:lineRule="auto"/>
            </w:pPr>
            <w:r>
              <w:rPr>
                <w:sz w:val="17"/>
              </w:rPr>
              <w:t>3 år + hændelsestrigger</w:t>
            </w:r>
          </w:p>
        </w:tc>
        <w:tc>
          <w:tcPr>
            <w:tcW w:type="dxa" w:w="2088"/>
            <w:tcMar>
              <w:top w:w="90" w:type="dxa"/>
              <w:start w:w="120" w:type="dxa"/>
              <w:bottom w:w="90" w:type="dxa"/>
              <w:end w:w="120" w:type="dxa"/>
            </w:tcMar>
            <w:vAlign w:val="center"/>
          </w:tcPr>
          <w:p>
            <w:pPr>
              <w:spacing w:after="0" w:line="259" w:lineRule="auto"/>
            </w:pPr>
            <w:r>
              <w:rPr>
                <w:sz w:val="17"/>
              </w:rPr>
              <w:t>10–20+ år</w:t>
            </w:r>
          </w:p>
        </w:tc>
      </w:tr>
      <w:tr>
        <w:tc>
          <w:tcPr>
            <w:tcW w:type="dxa" w:w="1944"/>
            <w:tcMar>
              <w:top w:w="90" w:type="dxa"/>
              <w:start w:w="120" w:type="dxa"/>
              <w:bottom w:w="90" w:type="dxa"/>
              <w:end w:w="120" w:type="dxa"/>
            </w:tcMar>
            <w:vAlign w:val="center"/>
          </w:tcPr>
          <w:p>
            <w:pPr>
              <w:shd w:fill="F7F9FA"/>
              <w:spacing w:after="0" w:line="259" w:lineRule="auto"/>
            </w:pPr>
            <w:r>
              <w:rPr>
                <w:sz w:val="17"/>
              </w:rPr>
              <w:t>Langsomt udviklende</w:t>
            </w:r>
          </w:p>
        </w:tc>
        <w:tc>
          <w:tcPr>
            <w:tcW w:type="dxa" w:w="3384"/>
            <w:tcMar>
              <w:top w:w="90" w:type="dxa"/>
              <w:start w:w="120" w:type="dxa"/>
              <w:bottom w:w="90" w:type="dxa"/>
              <w:end w:w="120" w:type="dxa"/>
            </w:tcMar>
            <w:vAlign w:val="center"/>
          </w:tcPr>
          <w:p>
            <w:pPr>
              <w:shd w:fill="F7F9FA"/>
              <w:spacing w:after="0" w:line="259" w:lineRule="auto"/>
            </w:pPr>
            <w:r>
              <w:rPr>
                <w:sz w:val="17"/>
              </w:rPr>
              <w:t>LEX, Position Papers, Governance Policies</w:t>
            </w:r>
          </w:p>
        </w:tc>
        <w:tc>
          <w:tcPr>
            <w:tcW w:type="dxa" w:w="1944"/>
            <w:tcMar>
              <w:top w:w="90" w:type="dxa"/>
              <w:start w:w="120" w:type="dxa"/>
              <w:bottom w:w="90" w:type="dxa"/>
              <w:end w:w="120" w:type="dxa"/>
            </w:tcMar>
            <w:vAlign w:val="center"/>
          </w:tcPr>
          <w:p>
            <w:pPr>
              <w:shd w:fill="F7F9FA"/>
              <w:spacing w:after="0" w:line="259" w:lineRule="auto"/>
            </w:pPr>
            <w:r>
              <w:rPr>
                <w:sz w:val="17"/>
              </w:rPr>
              <w:t>12–24 måneder</w:t>
            </w:r>
          </w:p>
        </w:tc>
        <w:tc>
          <w:tcPr>
            <w:tcW w:type="dxa" w:w="2088"/>
            <w:tcMar>
              <w:top w:w="90" w:type="dxa"/>
              <w:start w:w="120" w:type="dxa"/>
              <w:bottom w:w="90" w:type="dxa"/>
              <w:end w:w="120" w:type="dxa"/>
            </w:tcMar>
            <w:vAlign w:val="center"/>
          </w:tcPr>
          <w:p>
            <w:pPr>
              <w:shd w:fill="F7F9FA"/>
              <w:spacing w:after="0" w:line="259" w:lineRule="auto"/>
            </w:pPr>
            <w:r>
              <w:rPr>
                <w:sz w:val="17"/>
              </w:rPr>
              <w:t>3–10 år</w:t>
            </w:r>
          </w:p>
        </w:tc>
      </w:tr>
      <w:tr>
        <w:tc>
          <w:tcPr>
            <w:tcW w:type="dxa" w:w="1944"/>
            <w:tcMar>
              <w:top w:w="90" w:type="dxa"/>
              <w:start w:w="120" w:type="dxa"/>
              <w:bottom w:w="90" w:type="dxa"/>
              <w:end w:w="120" w:type="dxa"/>
            </w:tcMar>
            <w:vAlign w:val="center"/>
          </w:tcPr>
          <w:p>
            <w:pPr>
              <w:spacing w:after="0" w:line="259" w:lineRule="auto"/>
            </w:pPr>
            <w:r>
              <w:rPr>
                <w:sz w:val="17"/>
              </w:rPr>
              <w:t>Kontrolleret levende</w:t>
            </w:r>
          </w:p>
        </w:tc>
        <w:tc>
          <w:tcPr>
            <w:tcW w:type="dxa" w:w="3384"/>
            <w:tcMar>
              <w:top w:w="90" w:type="dxa"/>
              <w:start w:w="120" w:type="dxa"/>
              <w:bottom w:w="90" w:type="dxa"/>
              <w:end w:w="120" w:type="dxa"/>
            </w:tcMar>
            <w:vAlign w:val="center"/>
          </w:tcPr>
          <w:p>
            <w:pPr>
              <w:spacing w:after="0" w:line="259" w:lineRule="auto"/>
            </w:pPr>
            <w:r>
              <w:rPr>
                <w:sz w:val="17"/>
              </w:rPr>
              <w:t>Design Principles, Research Agenda, Safety policies</w:t>
            </w:r>
          </w:p>
        </w:tc>
        <w:tc>
          <w:tcPr>
            <w:tcW w:type="dxa" w:w="1944"/>
            <w:tcMar>
              <w:top w:w="90" w:type="dxa"/>
              <w:start w:w="120" w:type="dxa"/>
              <w:bottom w:w="90" w:type="dxa"/>
              <w:end w:w="120" w:type="dxa"/>
            </w:tcMar>
            <w:vAlign w:val="center"/>
          </w:tcPr>
          <w:p>
            <w:pPr>
              <w:spacing w:after="0" w:line="259" w:lineRule="auto"/>
            </w:pPr>
            <w:r>
              <w:rPr>
                <w:sz w:val="17"/>
              </w:rPr>
              <w:t>6–12 måneder</w:t>
            </w:r>
          </w:p>
        </w:tc>
        <w:tc>
          <w:tcPr>
            <w:tcW w:type="dxa" w:w="2088"/>
            <w:tcMar>
              <w:top w:w="90" w:type="dxa"/>
              <w:start w:w="120" w:type="dxa"/>
              <w:bottom w:w="90" w:type="dxa"/>
              <w:end w:w="120" w:type="dxa"/>
            </w:tcMar>
            <w:vAlign w:val="center"/>
          </w:tcPr>
          <w:p>
            <w:pPr>
              <w:spacing w:after="0" w:line="259" w:lineRule="auto"/>
            </w:pPr>
            <w:r>
              <w:rPr>
                <w:sz w:val="17"/>
              </w:rPr>
              <w:t>1–5 år</w:t>
            </w:r>
          </w:p>
        </w:tc>
      </w:tr>
      <w:tr>
        <w:tc>
          <w:tcPr>
            <w:tcW w:type="dxa" w:w="1944"/>
            <w:tcMar>
              <w:top w:w="90" w:type="dxa"/>
              <w:start w:w="120" w:type="dxa"/>
              <w:bottom w:w="90" w:type="dxa"/>
              <w:end w:w="120" w:type="dxa"/>
            </w:tcMar>
            <w:vAlign w:val="center"/>
          </w:tcPr>
          <w:p>
            <w:pPr>
              <w:shd w:fill="F7F9FA"/>
              <w:spacing w:after="0" w:line="259" w:lineRule="auto"/>
            </w:pPr>
            <w:r>
              <w:rPr>
                <w:sz w:val="17"/>
              </w:rPr>
              <w:t>Beslutningsbundne</w:t>
            </w:r>
          </w:p>
        </w:tc>
        <w:tc>
          <w:tcPr>
            <w:tcW w:type="dxa" w:w="3384"/>
            <w:tcMar>
              <w:top w:w="90" w:type="dxa"/>
              <w:start w:w="120" w:type="dxa"/>
              <w:bottom w:w="90" w:type="dxa"/>
              <w:end w:w="120" w:type="dxa"/>
            </w:tcMar>
            <w:vAlign w:val="center"/>
          </w:tcPr>
          <w:p>
            <w:pPr>
              <w:shd w:fill="F7F9FA"/>
              <w:spacing w:after="0" w:line="259" w:lineRule="auto"/>
            </w:pPr>
            <w:r>
              <w:rPr>
                <w:sz w:val="17"/>
              </w:rPr>
              <w:t>ADR, Safety Cases, Evaluation Protocols</w:t>
            </w:r>
          </w:p>
        </w:tc>
        <w:tc>
          <w:tcPr>
            <w:tcW w:type="dxa" w:w="1944"/>
            <w:tcMar>
              <w:top w:w="90" w:type="dxa"/>
              <w:start w:w="120" w:type="dxa"/>
              <w:bottom w:w="90" w:type="dxa"/>
              <w:end w:w="120" w:type="dxa"/>
            </w:tcMar>
            <w:vAlign w:val="center"/>
          </w:tcPr>
          <w:p>
            <w:pPr>
              <w:shd w:fill="F7F9FA"/>
              <w:spacing w:after="0" w:line="259" w:lineRule="auto"/>
            </w:pPr>
            <w:r>
              <w:rPr>
                <w:sz w:val="17"/>
              </w:rPr>
              <w:t>Ved trigger/release</w:t>
            </w:r>
          </w:p>
        </w:tc>
        <w:tc>
          <w:tcPr>
            <w:tcW w:type="dxa" w:w="2088"/>
            <w:tcMar>
              <w:top w:w="90" w:type="dxa"/>
              <w:start w:w="120" w:type="dxa"/>
              <w:bottom w:w="90" w:type="dxa"/>
              <w:end w:w="120" w:type="dxa"/>
            </w:tcMar>
            <w:vAlign w:val="center"/>
          </w:tcPr>
          <w:p>
            <w:pPr>
              <w:shd w:fill="F7F9FA"/>
              <w:spacing w:after="0" w:line="259" w:lineRule="auto"/>
            </w:pPr>
            <w:r>
              <w:rPr>
                <w:sz w:val="17"/>
              </w:rPr>
              <w:t>Systemdelens levetid</w:t>
            </w:r>
          </w:p>
        </w:tc>
      </w:tr>
      <w:tr>
        <w:tc>
          <w:tcPr>
            <w:tcW w:type="dxa" w:w="1944"/>
            <w:tcMar>
              <w:top w:w="90" w:type="dxa"/>
              <w:start w:w="120" w:type="dxa"/>
              <w:bottom w:w="90" w:type="dxa"/>
              <w:end w:w="120" w:type="dxa"/>
            </w:tcMar>
            <w:vAlign w:val="center"/>
          </w:tcPr>
          <w:p>
            <w:pPr>
              <w:spacing w:after="0" w:line="259" w:lineRule="auto"/>
            </w:pPr>
            <w:r>
              <w:rPr>
                <w:sz w:val="17"/>
              </w:rPr>
              <w:t>Levende drift</w:t>
            </w:r>
          </w:p>
        </w:tc>
        <w:tc>
          <w:tcPr>
            <w:tcW w:type="dxa" w:w="3384"/>
            <w:tcMar>
              <w:top w:w="90" w:type="dxa"/>
              <w:start w:w="120" w:type="dxa"/>
              <w:bottom w:w="90" w:type="dxa"/>
              <w:end w:w="120" w:type="dxa"/>
            </w:tcMar>
            <w:vAlign w:val="center"/>
          </w:tcPr>
          <w:p>
            <w:pPr>
              <w:spacing w:after="0" w:line="259" w:lineRule="auto"/>
            </w:pPr>
            <w:r>
              <w:rPr>
                <w:sz w:val="17"/>
              </w:rPr>
              <w:t>PRD, Release Dossier, ILR, metrics</w:t>
            </w:r>
          </w:p>
        </w:tc>
        <w:tc>
          <w:tcPr>
            <w:tcW w:type="dxa" w:w="1944"/>
            <w:tcMar>
              <w:top w:w="90" w:type="dxa"/>
              <w:start w:w="120" w:type="dxa"/>
              <w:bottom w:w="90" w:type="dxa"/>
              <w:end w:w="120" w:type="dxa"/>
            </w:tcMar>
            <w:vAlign w:val="center"/>
          </w:tcPr>
          <w:p>
            <w:pPr>
              <w:spacing w:after="0" w:line="259" w:lineRule="auto"/>
            </w:pPr>
            <w:r>
              <w:rPr>
                <w:sz w:val="17"/>
              </w:rPr>
              <w:t>Kontinuerligt/release</w:t>
            </w:r>
          </w:p>
        </w:tc>
        <w:tc>
          <w:tcPr>
            <w:tcW w:type="dxa" w:w="2088"/>
            <w:tcMar>
              <w:top w:w="90" w:type="dxa"/>
              <w:start w:w="120" w:type="dxa"/>
              <w:bottom w:w="90" w:type="dxa"/>
              <w:end w:w="120" w:type="dxa"/>
            </w:tcMar>
            <w:vAlign w:val="center"/>
          </w:tcPr>
          <w:p>
            <w:pPr>
              <w:spacing w:after="0" w:line="259" w:lineRule="auto"/>
            </w:pPr>
            <w:r>
              <w:rPr>
                <w:sz w:val="17"/>
              </w:rPr>
              <w:t>Uger til år</w:t>
            </w:r>
          </w:p>
        </w:tc>
      </w:tr>
    </w:tbl>
    <w:p>
      <w:pPr>
        <w:spacing w:after="0"/>
      </w:pPr>
    </w:p>
    <w:p>
      <w:pPr>
        <w:pStyle w:val="Heading2"/>
      </w:pPr>
      <w:r>
        <w:t>Statusovergange</w:t>
      </w:r>
    </w:p>
    <w:p>
      <w:r>
        <w:rPr>
          <w:rFonts w:ascii="Calibri" w:hAnsi="Calibri"/>
          <w:i w:val="0"/>
          <w:sz w:val="22"/>
        </w:rPr>
        <w:t>NOTE → DRAFT → REVIEW → RATIFIED/ACTIVE → SUPERSEDED/RETIRED. CONTESTED kan indtræde fra enhver aktiv status, når der findes en plausibel normkonflikt, alvorlig evidenssvaghed eller sikkerhedshændelse.</w:t>
      </w:r>
    </w:p>
    <w:p>
      <w:pPr>
        <w:pStyle w:val="ListBullet"/>
        <w:spacing w:after="80" w:line="300" w:lineRule="auto"/>
      </w:pPr>
      <w:r>
        <w:t>RETIRED betyder, at artefaktet ikke længere styrer; historikken bevares.</w:t>
      </w:r>
    </w:p>
    <w:p>
      <w:pPr>
        <w:pStyle w:val="ListBullet"/>
        <w:spacing w:after="80" w:line="300" w:lineRule="auto"/>
      </w:pPr>
      <w:r>
        <w:t>SUPERSEDED kræver link til erstatningen og migrationsplan.</w:t>
      </w:r>
    </w:p>
    <w:p>
      <w:pPr>
        <w:pStyle w:val="ListBullet"/>
        <w:spacing w:after="80" w:line="300" w:lineRule="auto"/>
      </w:pPr>
      <w:r>
        <w:t>CONTESTED stopper nye afhængigheder og kan udløse releasehold.</w:t>
      </w:r>
    </w:p>
    <w:p>
      <w:pPr>
        <w:pStyle w:val="ListBullet"/>
        <w:spacing w:after="80" w:line="300" w:lineRule="auto"/>
      </w:pPr>
      <w:r>
        <w:t>Ingen aktiv reference må pege på et retired artefakt uden dokumenteret historisk formål.</w:t>
      </w:r>
    </w:p>
    <w:p>
      <w:r>
        <w:br w:type="page"/>
      </w:r>
    </w:p>
    <w:p>
      <w:pPr>
        <w:spacing w:after="60"/>
      </w:pPr>
      <w:r>
        <w:rPr>
          <w:b/>
          <w:color w:val="667085"/>
          <w:sz w:val="18"/>
        </w:rPr>
        <w:t>FRA IDÉ TIL NORM</w:t>
      </w:r>
    </w:p>
    <w:p>
      <w:pPr>
        <w:pStyle w:val="Heading1"/>
      </w:pPr>
      <w:r>
        <w:t>8. Ratificeringsprocessen</w:t>
      </w:r>
    </w:p>
    <w:tbl>
      <w:tblPr>
        <w:tblW w:type="dxa" w:w="9360"/>
        <w:jc w:val="left"/>
        <w:tblLayout w:type="fixed"/>
        <w:tblLook w:firstColumn="1" w:firstRow="1" w:lastColumn="0" w:lastRow="0" w:noHBand="0" w:noVBand="1" w:val="04A0"/>
        <w:tblInd w:w="120" w:type="dxa"/>
      </w:tblPr>
      <w:tblGrid>
        <w:gridCol w:w="2088"/>
        <w:gridCol w:w="4608"/>
        <w:gridCol w:w="2664"/>
      </w:tblGrid>
      <w:tr>
        <w:trPr>
          <w:tblHeader/>
        </w:trPr>
        <w:tc>
          <w:tcPr>
            <w:tcW w:type="dxa" w:w="2088"/>
            <w:tcMar>
              <w:top w:w="90" w:type="dxa"/>
              <w:start w:w="120" w:type="dxa"/>
              <w:bottom w:w="90" w:type="dxa"/>
              <w:end w:w="120" w:type="dxa"/>
            </w:tcMar>
            <w:vAlign w:val="center"/>
          </w:tcPr>
          <w:p>
            <w:pPr>
              <w:shd w:fill="DCE6EB"/>
            </w:pPr>
            <w:r>
              <w:rPr>
                <w:b/>
                <w:color w:val="15324A"/>
                <w:sz w:val="16"/>
              </w:rPr>
              <w:t>Klassifikation</w:t>
            </w:r>
          </w:p>
        </w:tc>
        <w:tc>
          <w:tcPr>
            <w:tcW w:type="dxa" w:w="4608"/>
            <w:tcMar>
              <w:top w:w="90" w:type="dxa"/>
              <w:start w:w="120" w:type="dxa"/>
              <w:bottom w:w="90" w:type="dxa"/>
              <w:end w:w="120" w:type="dxa"/>
            </w:tcMar>
            <w:vAlign w:val="center"/>
          </w:tcPr>
          <w:p>
            <w:pPr>
              <w:shd w:fill="DCE6EB"/>
            </w:pPr>
            <w:r>
              <w:rPr>
                <w:b/>
                <w:color w:val="15324A"/>
                <w:sz w:val="16"/>
              </w:rPr>
              <w:t>Hvornår?</w:t>
            </w:r>
          </w:p>
        </w:tc>
        <w:tc>
          <w:tcPr>
            <w:tcW w:type="dxa" w:w="2664"/>
            <w:tcMar>
              <w:top w:w="90" w:type="dxa"/>
              <w:start w:w="120" w:type="dxa"/>
              <w:bottom w:w="90" w:type="dxa"/>
              <w:end w:w="120" w:type="dxa"/>
            </w:tcMar>
            <w:vAlign w:val="center"/>
          </w:tcPr>
          <w:p>
            <w:pPr>
              <w:shd w:fill="DCE6EB"/>
            </w:pPr>
            <w:r>
              <w:rPr>
                <w:b/>
                <w:color w:val="15324A"/>
                <w:sz w:val="16"/>
              </w:rPr>
              <w:t>Godkendelse</w:t>
            </w:r>
          </w:p>
        </w:tc>
      </w:tr>
      <w:tr>
        <w:tc>
          <w:tcPr>
            <w:tcW w:type="dxa" w:w="2088"/>
            <w:tcMar>
              <w:top w:w="90" w:type="dxa"/>
              <w:start w:w="120" w:type="dxa"/>
              <w:bottom w:w="90" w:type="dxa"/>
              <w:end w:w="120" w:type="dxa"/>
            </w:tcMar>
            <w:vAlign w:val="center"/>
          </w:tcPr>
          <w:p>
            <w:pPr>
              <w:spacing w:after="0" w:line="259" w:lineRule="auto"/>
            </w:pPr>
            <w:r>
              <w:rPr>
                <w:sz w:val="16"/>
              </w:rPr>
              <w:t>Research Note</w:t>
            </w:r>
          </w:p>
        </w:tc>
        <w:tc>
          <w:tcPr>
            <w:tcW w:type="dxa" w:w="4608"/>
            <w:tcMar>
              <w:top w:w="90" w:type="dxa"/>
              <w:start w:w="120" w:type="dxa"/>
              <w:bottom w:w="90" w:type="dxa"/>
              <w:end w:w="120" w:type="dxa"/>
            </w:tcMar>
            <w:vAlign w:val="center"/>
          </w:tcPr>
          <w:p>
            <w:pPr>
              <w:spacing w:after="0" w:line="259" w:lineRule="auto"/>
            </w:pPr>
            <w:r>
              <w:rPr>
                <w:sz w:val="16"/>
              </w:rPr>
              <w:t>Tidlig observation, erfaring eller uklar idé</w:t>
            </w:r>
          </w:p>
        </w:tc>
        <w:tc>
          <w:tcPr>
            <w:tcW w:type="dxa" w:w="2664"/>
            <w:tcMar>
              <w:top w:w="90" w:type="dxa"/>
              <w:start w:w="120" w:type="dxa"/>
              <w:bottom w:w="90" w:type="dxa"/>
              <w:end w:w="120" w:type="dxa"/>
            </w:tcMar>
            <w:vAlign w:val="center"/>
          </w:tcPr>
          <w:p>
            <w:pPr>
              <w:spacing w:after="0" w:line="259" w:lineRule="auto"/>
            </w:pPr>
            <w:r>
              <w:rPr>
                <w:sz w:val="16"/>
              </w:rPr>
              <w:t>Forfatter + registrering; ingen normativ kraft</w:t>
            </w:r>
          </w:p>
        </w:tc>
      </w:tr>
      <w:tr>
        <w:tc>
          <w:tcPr>
            <w:tcW w:type="dxa" w:w="2088"/>
            <w:tcMar>
              <w:top w:w="90" w:type="dxa"/>
              <w:start w:w="120" w:type="dxa"/>
              <w:bottom w:w="90" w:type="dxa"/>
              <w:end w:w="120" w:type="dxa"/>
            </w:tcMar>
            <w:vAlign w:val="center"/>
          </w:tcPr>
          <w:p>
            <w:pPr>
              <w:shd w:fill="F7F9FA"/>
              <w:spacing w:after="0" w:line="259" w:lineRule="auto"/>
            </w:pPr>
            <w:r>
              <w:rPr>
                <w:sz w:val="16"/>
              </w:rPr>
              <w:t>Position Paper</w:t>
            </w:r>
          </w:p>
        </w:tc>
        <w:tc>
          <w:tcPr>
            <w:tcW w:type="dxa" w:w="4608"/>
            <w:tcMar>
              <w:top w:w="90" w:type="dxa"/>
              <w:start w:w="120" w:type="dxa"/>
              <w:bottom w:w="90" w:type="dxa"/>
              <w:end w:w="120" w:type="dxa"/>
            </w:tcMar>
            <w:vAlign w:val="center"/>
          </w:tcPr>
          <w:p>
            <w:pPr>
              <w:shd w:fill="F7F9FA"/>
              <w:spacing w:after="0" w:line="259" w:lineRule="auto"/>
            </w:pPr>
            <w:r>
              <w:rPr>
                <w:sz w:val="16"/>
              </w:rPr>
              <w:t>Der er et vedvarende problem, flere rimelige fortolkninger eller behov for argumentation</w:t>
            </w:r>
          </w:p>
        </w:tc>
        <w:tc>
          <w:tcPr>
            <w:tcW w:type="dxa" w:w="2664"/>
            <w:tcMar>
              <w:top w:w="90" w:type="dxa"/>
              <w:start w:w="120" w:type="dxa"/>
              <w:bottom w:w="90" w:type="dxa"/>
              <w:end w:w="120" w:type="dxa"/>
            </w:tcMar>
            <w:vAlign w:val="center"/>
          </w:tcPr>
          <w:p>
            <w:pPr>
              <w:shd w:fill="F7F9FA"/>
              <w:spacing w:after="0" w:line="259" w:lineRule="auto"/>
            </w:pPr>
            <w:r>
              <w:rPr>
                <w:sz w:val="16"/>
              </w:rPr>
              <w:t>Tværfaglig review og åben kommentering</w:t>
            </w:r>
          </w:p>
        </w:tc>
      </w:tr>
      <w:tr>
        <w:tc>
          <w:tcPr>
            <w:tcW w:type="dxa" w:w="2088"/>
            <w:tcMar>
              <w:top w:w="90" w:type="dxa"/>
              <w:start w:w="120" w:type="dxa"/>
              <w:bottom w:w="90" w:type="dxa"/>
              <w:end w:w="120" w:type="dxa"/>
            </w:tcMar>
            <w:vAlign w:val="center"/>
          </w:tcPr>
          <w:p>
            <w:pPr>
              <w:spacing w:after="0" w:line="259" w:lineRule="auto"/>
            </w:pPr>
            <w:r>
              <w:rPr>
                <w:sz w:val="16"/>
              </w:rPr>
              <w:t>Design Principle</w:t>
            </w:r>
          </w:p>
        </w:tc>
        <w:tc>
          <w:tcPr>
            <w:tcW w:type="dxa" w:w="4608"/>
            <w:tcMar>
              <w:top w:w="90" w:type="dxa"/>
              <w:start w:w="120" w:type="dxa"/>
              <w:bottom w:w="90" w:type="dxa"/>
              <w:end w:w="120" w:type="dxa"/>
            </w:tcMar>
            <w:vAlign w:val="center"/>
          </w:tcPr>
          <w:p>
            <w:pPr>
              <w:spacing w:after="0" w:line="259" w:lineRule="auto"/>
            </w:pPr>
            <w:r>
              <w:rPr>
                <w:sz w:val="16"/>
              </w:rPr>
              <w:t>Reglen gentager sig på tværs af use cases og kan styre to teams ens</w:t>
            </w:r>
          </w:p>
        </w:tc>
        <w:tc>
          <w:tcPr>
            <w:tcW w:type="dxa" w:w="2664"/>
            <w:tcMar>
              <w:top w:w="90" w:type="dxa"/>
              <w:start w:w="120" w:type="dxa"/>
              <w:bottom w:w="90" w:type="dxa"/>
              <w:end w:w="120" w:type="dxa"/>
            </w:tcMar>
            <w:vAlign w:val="center"/>
          </w:tcPr>
          <w:p>
            <w:pPr>
              <w:spacing w:after="0" w:line="259" w:lineRule="auto"/>
            </w:pPr>
            <w:r>
              <w:rPr>
                <w:sz w:val="16"/>
              </w:rPr>
              <w:t>Design Council + klinisk/human-factors-review</w:t>
            </w:r>
          </w:p>
        </w:tc>
      </w:tr>
      <w:tr>
        <w:tc>
          <w:tcPr>
            <w:tcW w:type="dxa" w:w="2088"/>
            <w:tcMar>
              <w:top w:w="90" w:type="dxa"/>
              <w:start w:w="120" w:type="dxa"/>
              <w:bottom w:w="90" w:type="dxa"/>
              <w:end w:w="120" w:type="dxa"/>
            </w:tcMar>
            <w:vAlign w:val="center"/>
          </w:tcPr>
          <w:p>
            <w:pPr>
              <w:shd w:fill="F7F9FA"/>
              <w:spacing w:after="0" w:line="259" w:lineRule="auto"/>
            </w:pPr>
            <w:r>
              <w:rPr>
                <w:sz w:val="16"/>
              </w:rPr>
              <w:t>Constitution article</w:t>
            </w:r>
          </w:p>
        </w:tc>
        <w:tc>
          <w:tcPr>
            <w:tcW w:type="dxa" w:w="4608"/>
            <w:tcMar>
              <w:top w:w="90" w:type="dxa"/>
              <w:start w:w="120" w:type="dxa"/>
              <w:bottom w:w="90" w:type="dxa"/>
              <w:end w:w="120" w:type="dxa"/>
            </w:tcMar>
            <w:vAlign w:val="center"/>
          </w:tcPr>
          <w:p>
            <w:pPr>
              <w:shd w:fill="F7F9FA"/>
              <w:spacing w:after="0" w:line="259" w:lineRule="auto"/>
            </w:pPr>
            <w:r>
              <w:rPr>
                <w:sz w:val="16"/>
              </w:rPr>
              <w:t>Princippet er identitetsnødvendigt, tidløst, uafledbart, konfliktstyrende og efterprøveligt</w:t>
            </w:r>
          </w:p>
        </w:tc>
        <w:tc>
          <w:tcPr>
            <w:tcW w:type="dxa" w:w="2664"/>
            <w:tcMar>
              <w:top w:w="90" w:type="dxa"/>
              <w:start w:w="120" w:type="dxa"/>
              <w:bottom w:w="90" w:type="dxa"/>
              <w:end w:w="120" w:type="dxa"/>
            </w:tcMar>
            <w:vAlign w:val="center"/>
          </w:tcPr>
          <w:p>
            <w:pPr>
              <w:shd w:fill="F7F9FA"/>
              <w:spacing w:after="0" w:line="259" w:lineRule="auto"/>
            </w:pPr>
            <w:r>
              <w:rPr>
                <w:sz w:val="16"/>
              </w:rPr>
              <w:t>Constitution Council med supermajoritet og patientrepræsentation</w:t>
            </w:r>
          </w:p>
        </w:tc>
      </w:tr>
      <w:tr>
        <w:tc>
          <w:tcPr>
            <w:tcW w:type="dxa" w:w="2088"/>
            <w:tcMar>
              <w:top w:w="90" w:type="dxa"/>
              <w:start w:w="120" w:type="dxa"/>
              <w:bottom w:w="90" w:type="dxa"/>
              <w:end w:w="120" w:type="dxa"/>
            </w:tcMar>
            <w:vAlign w:val="center"/>
          </w:tcPr>
          <w:p>
            <w:pPr>
              <w:spacing w:after="0" w:line="259" w:lineRule="auto"/>
            </w:pPr>
            <w:r>
              <w:rPr>
                <w:sz w:val="16"/>
              </w:rPr>
              <w:t>ADR</w:t>
            </w:r>
          </w:p>
        </w:tc>
        <w:tc>
          <w:tcPr>
            <w:tcW w:type="dxa" w:w="4608"/>
            <w:tcMar>
              <w:top w:w="90" w:type="dxa"/>
              <w:start w:w="120" w:type="dxa"/>
              <w:bottom w:w="90" w:type="dxa"/>
              <w:end w:w="120" w:type="dxa"/>
            </w:tcMar>
            <w:vAlign w:val="center"/>
          </w:tcPr>
          <w:p>
            <w:pPr>
              <w:spacing w:after="0" w:line="259" w:lineRule="auto"/>
            </w:pPr>
            <w:r>
              <w:rPr>
                <w:sz w:val="16"/>
              </w:rPr>
              <w:t>Et afgrænset, konsekvensfuldt teknisk valg skal fastholdes</w:t>
            </w:r>
          </w:p>
        </w:tc>
        <w:tc>
          <w:tcPr>
            <w:tcW w:type="dxa" w:w="2664"/>
            <w:tcMar>
              <w:top w:w="90" w:type="dxa"/>
              <w:start w:w="120" w:type="dxa"/>
              <w:bottom w:w="90" w:type="dxa"/>
              <w:end w:w="120" w:type="dxa"/>
            </w:tcMar>
            <w:vAlign w:val="center"/>
          </w:tcPr>
          <w:p>
            <w:pPr>
              <w:spacing w:after="0" w:line="259" w:lineRule="auto"/>
            </w:pPr>
            <w:r>
              <w:rPr>
                <w:sz w:val="16"/>
              </w:rPr>
              <w:t>Architecture Council + berørte safety/data owners</w:t>
            </w:r>
          </w:p>
        </w:tc>
      </w:tr>
      <w:tr>
        <w:tc>
          <w:tcPr>
            <w:tcW w:type="dxa" w:w="2088"/>
            <w:tcMar>
              <w:top w:w="90" w:type="dxa"/>
              <w:start w:w="120" w:type="dxa"/>
              <w:bottom w:w="90" w:type="dxa"/>
              <w:end w:w="120" w:type="dxa"/>
            </w:tcMar>
            <w:vAlign w:val="center"/>
          </w:tcPr>
          <w:p>
            <w:pPr>
              <w:shd w:fill="F7F9FA"/>
              <w:spacing w:after="0" w:line="259" w:lineRule="auto"/>
            </w:pPr>
            <w:r>
              <w:rPr>
                <w:sz w:val="16"/>
              </w:rPr>
              <w:t>Product Requirement</w:t>
            </w:r>
          </w:p>
        </w:tc>
        <w:tc>
          <w:tcPr>
            <w:tcW w:type="dxa" w:w="4608"/>
            <w:tcMar>
              <w:top w:w="90" w:type="dxa"/>
              <w:start w:w="120" w:type="dxa"/>
              <w:bottom w:w="90" w:type="dxa"/>
              <w:end w:w="120" w:type="dxa"/>
            </w:tcMar>
            <w:vAlign w:val="center"/>
          </w:tcPr>
          <w:p>
            <w:pPr>
              <w:shd w:fill="F7F9FA"/>
              <w:spacing w:after="0" w:line="259" w:lineRule="auto"/>
            </w:pPr>
            <w:r>
              <w:rPr>
                <w:sz w:val="16"/>
              </w:rPr>
              <w:t>En godkendt regel skal udtrykkes som målbar systemadfærd</w:t>
            </w:r>
          </w:p>
        </w:tc>
        <w:tc>
          <w:tcPr>
            <w:tcW w:type="dxa" w:w="2664"/>
            <w:tcMar>
              <w:top w:w="90" w:type="dxa"/>
              <w:start w:w="120" w:type="dxa"/>
              <w:bottom w:w="90" w:type="dxa"/>
              <w:end w:w="120" w:type="dxa"/>
            </w:tcMar>
            <w:vAlign w:val="center"/>
          </w:tcPr>
          <w:p>
            <w:pPr>
              <w:shd w:fill="F7F9FA"/>
              <w:spacing w:after="0" w:line="259" w:lineRule="auto"/>
            </w:pPr>
            <w:r>
              <w:rPr>
                <w:sz w:val="16"/>
              </w:rPr>
              <w:t>Product owner + clinical safety + QA</w:t>
            </w:r>
          </w:p>
        </w:tc>
      </w:tr>
    </w:tbl>
    <w:p>
      <w:pPr>
        <w:spacing w:after="0"/>
      </w:pPr>
    </w:p>
    <w:p>
      <w:pPr>
        <w:pStyle w:val="Heading2"/>
      </w:pPr>
      <w:r>
        <w:t>Optagelse i Constitutionen</w:t>
      </w:r>
    </w:p>
    <w:p>
      <w:pPr>
        <w:pStyle w:val="ListNumber"/>
        <w:spacing w:after="80" w:line="300" w:lineRule="auto"/>
      </w:pPr>
      <w:r>
        <w:t>Problem og beskyttelsesfunktion dokumenteres i et Position Paper.</w:t>
      </w:r>
    </w:p>
    <w:p>
      <w:pPr>
        <w:pStyle w:val="ListNumber"/>
        <w:spacing w:after="80" w:line="300" w:lineRule="auto"/>
      </w:pPr>
      <w:r>
        <w:t>Identitet, tidløshed, uafledbarhed, styringskraft og efterprøvelighed prøves.</w:t>
      </w:r>
    </w:p>
    <w:p>
      <w:pPr>
        <w:pStyle w:val="ListNumber"/>
        <w:spacing w:after="80" w:line="300" w:lineRule="auto"/>
      </w:pPr>
      <w:r>
        <w:t>Konflikter og anti-omgåelse formuleres eksplicit.</w:t>
      </w:r>
    </w:p>
    <w:p>
      <w:pPr>
        <w:pStyle w:val="ListNumber"/>
        <w:spacing w:after="80" w:line="300" w:lineRule="auto"/>
      </w:pPr>
      <w:r>
        <w:t>Konsekvensanalyse kortlægger alle aktive artefakter.</w:t>
      </w:r>
    </w:p>
    <w:p>
      <w:pPr>
        <w:pStyle w:val="ListNumber"/>
        <w:spacing w:after="80" w:line="300" w:lineRule="auto"/>
      </w:pPr>
      <w:r>
        <w:t>Offentlig intern høring med klinikere, patienter, etik, human factors og arkitektur.</w:t>
      </w:r>
    </w:p>
    <w:p>
      <w:pPr>
        <w:pStyle w:val="ListNumber"/>
        <w:spacing w:after="80" w:line="300" w:lineRule="auto"/>
      </w:pPr>
      <w:r>
        <w:t>Mindst 75 % supermajoritet og ingen ubehandlet safety objection.</w:t>
      </w:r>
    </w:p>
    <w:p>
      <w:pPr>
        <w:pStyle w:val="ListNumber"/>
        <w:spacing w:after="80" w:line="300" w:lineRule="auto"/>
      </w:pPr>
      <w:r>
        <w:t>Ratificering ledsages af migrations- og auditplan.</w:t>
      </w:r>
    </w:p>
    <w:p>
      <w:r>
        <w:br w:type="page"/>
      </w:r>
    </w:p>
    <w:p>
      <w:pPr>
        <w:spacing w:after="60"/>
      </w:pPr>
      <w:r>
        <w:rPr>
          <w:b/>
          <w:color w:val="667085"/>
          <w:sz w:val="18"/>
        </w:rPr>
        <w:t>HVORDAN SYSTEMET KAN ÆNDRE SIG</w:t>
      </w:r>
    </w:p>
    <w:p>
      <w:pPr>
        <w:pStyle w:val="Heading1"/>
      </w:pPr>
      <w:r>
        <w:t>9. Ændringskontrol og undtagelser</w:t>
      </w:r>
    </w:p>
    <w:tbl>
      <w:tblPr>
        <w:tblW w:type="dxa" w:w="9360"/>
        <w:jc w:val="left"/>
        <w:tblLayout w:type="fixed"/>
        <w:tblLook w:firstColumn="1" w:firstRow="1" w:lastColumn="0" w:lastRow="0" w:noHBand="0" w:noVBand="1" w:val="04A0"/>
        <w:tblInd w:w="120" w:type="dxa"/>
      </w:tblPr>
      <w:tblGrid>
        <w:gridCol w:w="1656"/>
        <w:gridCol w:w="3744"/>
        <w:gridCol w:w="3960"/>
      </w:tblGrid>
      <w:tr>
        <w:trPr>
          <w:tblHeader/>
        </w:trPr>
        <w:tc>
          <w:tcPr>
            <w:tcW w:type="dxa" w:w="1656"/>
            <w:tcMar>
              <w:top w:w="90" w:type="dxa"/>
              <w:start w:w="120" w:type="dxa"/>
              <w:bottom w:w="90" w:type="dxa"/>
              <w:end w:w="120" w:type="dxa"/>
            </w:tcMar>
            <w:vAlign w:val="center"/>
          </w:tcPr>
          <w:p>
            <w:pPr>
              <w:shd w:fill="DCE6EB"/>
            </w:pPr>
            <w:r>
              <w:rPr>
                <w:b/>
                <w:color w:val="15324A"/>
                <w:sz w:val="16"/>
              </w:rPr>
              <w:t>Ændringsklasse</w:t>
            </w:r>
          </w:p>
        </w:tc>
        <w:tc>
          <w:tcPr>
            <w:tcW w:type="dxa" w:w="3744"/>
            <w:tcMar>
              <w:top w:w="90" w:type="dxa"/>
              <w:start w:w="120" w:type="dxa"/>
              <w:bottom w:w="90" w:type="dxa"/>
              <w:end w:w="120" w:type="dxa"/>
            </w:tcMar>
            <w:vAlign w:val="center"/>
          </w:tcPr>
          <w:p>
            <w:pPr>
              <w:shd w:fill="DCE6EB"/>
            </w:pPr>
            <w:r>
              <w:rPr>
                <w:b/>
                <w:color w:val="15324A"/>
                <w:sz w:val="16"/>
              </w:rPr>
              <w:t>Eksempel</w:t>
            </w:r>
          </w:p>
        </w:tc>
        <w:tc>
          <w:tcPr>
            <w:tcW w:type="dxa" w:w="3960"/>
            <w:tcMar>
              <w:top w:w="90" w:type="dxa"/>
              <w:start w:w="120" w:type="dxa"/>
              <w:bottom w:w="90" w:type="dxa"/>
              <w:end w:w="120" w:type="dxa"/>
            </w:tcMar>
            <w:vAlign w:val="center"/>
          </w:tcPr>
          <w:p>
            <w:pPr>
              <w:shd w:fill="DCE6EB"/>
            </w:pPr>
            <w:r>
              <w:rPr>
                <w:b/>
                <w:color w:val="15324A"/>
                <w:sz w:val="16"/>
              </w:rPr>
              <w:t>Krav</w:t>
            </w:r>
          </w:p>
        </w:tc>
      </w:tr>
      <w:tr>
        <w:tc>
          <w:tcPr>
            <w:tcW w:type="dxa" w:w="1656"/>
            <w:tcMar>
              <w:top w:w="90" w:type="dxa"/>
              <w:start w:w="120" w:type="dxa"/>
              <w:bottom w:w="90" w:type="dxa"/>
              <w:end w:w="120" w:type="dxa"/>
            </w:tcMar>
            <w:vAlign w:val="center"/>
          </w:tcPr>
          <w:p>
            <w:pPr>
              <w:spacing w:after="0" w:line="259" w:lineRule="auto"/>
            </w:pPr>
            <w:r>
              <w:rPr>
                <w:sz w:val="16"/>
              </w:rPr>
              <w:t>Patch</w:t>
            </w:r>
          </w:p>
        </w:tc>
        <w:tc>
          <w:tcPr>
            <w:tcW w:type="dxa" w:w="3744"/>
            <w:tcMar>
              <w:top w:w="90" w:type="dxa"/>
              <w:start w:w="120" w:type="dxa"/>
              <w:bottom w:w="90" w:type="dxa"/>
              <w:end w:w="120" w:type="dxa"/>
            </w:tcMar>
            <w:vAlign w:val="center"/>
          </w:tcPr>
          <w:p>
            <w:pPr>
              <w:spacing w:after="0" w:line="259" w:lineRule="auto"/>
            </w:pPr>
            <w:r>
              <w:rPr>
                <w:sz w:val="16"/>
              </w:rPr>
              <w:t>Sprog, link, stavefejl uden normativ effekt</w:t>
            </w:r>
          </w:p>
        </w:tc>
        <w:tc>
          <w:tcPr>
            <w:tcW w:type="dxa" w:w="3960"/>
            <w:tcMar>
              <w:top w:w="90" w:type="dxa"/>
              <w:start w:w="120" w:type="dxa"/>
              <w:bottom w:w="90" w:type="dxa"/>
              <w:end w:w="120" w:type="dxa"/>
            </w:tcMar>
            <w:vAlign w:val="center"/>
          </w:tcPr>
          <w:p>
            <w:pPr>
              <w:spacing w:after="0" w:line="259" w:lineRule="auto"/>
            </w:pPr>
            <w:r>
              <w:rPr>
                <w:sz w:val="16"/>
              </w:rPr>
              <w:t>Ejer + sekretariat</w:t>
            </w:r>
          </w:p>
        </w:tc>
      </w:tr>
      <w:tr>
        <w:tc>
          <w:tcPr>
            <w:tcW w:type="dxa" w:w="1656"/>
            <w:tcMar>
              <w:top w:w="90" w:type="dxa"/>
              <w:start w:w="120" w:type="dxa"/>
              <w:bottom w:w="90" w:type="dxa"/>
              <w:end w:w="120" w:type="dxa"/>
            </w:tcMar>
            <w:vAlign w:val="center"/>
          </w:tcPr>
          <w:p>
            <w:pPr>
              <w:shd w:fill="F7F9FA"/>
              <w:spacing w:after="0" w:line="259" w:lineRule="auto"/>
            </w:pPr>
            <w:r>
              <w:rPr>
                <w:sz w:val="16"/>
              </w:rPr>
              <w:t>Minor</w:t>
            </w:r>
          </w:p>
        </w:tc>
        <w:tc>
          <w:tcPr>
            <w:tcW w:type="dxa" w:w="3744"/>
            <w:tcMar>
              <w:top w:w="90" w:type="dxa"/>
              <w:start w:w="120" w:type="dxa"/>
              <w:bottom w:w="90" w:type="dxa"/>
              <w:end w:w="120" w:type="dxa"/>
            </w:tcMar>
            <w:vAlign w:val="center"/>
          </w:tcPr>
          <w:p>
            <w:pPr>
              <w:shd w:fill="F7F9FA"/>
              <w:spacing w:after="0" w:line="259" w:lineRule="auto"/>
            </w:pPr>
            <w:r>
              <w:rPr>
                <w:sz w:val="16"/>
              </w:rPr>
              <w:t>Præcisering, ny indikator, udvidet scope uden normændring</w:t>
            </w:r>
          </w:p>
        </w:tc>
        <w:tc>
          <w:tcPr>
            <w:tcW w:type="dxa" w:w="3960"/>
            <w:tcMar>
              <w:top w:w="90" w:type="dxa"/>
              <w:start w:w="120" w:type="dxa"/>
              <w:bottom w:w="90" w:type="dxa"/>
              <w:end w:w="120" w:type="dxa"/>
            </w:tcMar>
            <w:vAlign w:val="center"/>
          </w:tcPr>
          <w:p>
            <w:pPr>
              <w:shd w:fill="F7F9FA"/>
              <w:spacing w:after="0" w:line="259" w:lineRule="auto"/>
            </w:pPr>
            <w:r>
              <w:rPr>
                <w:sz w:val="16"/>
              </w:rPr>
              <w:t>Review af berørte ejere + normativ diff</w:t>
            </w:r>
          </w:p>
        </w:tc>
      </w:tr>
      <w:tr>
        <w:tc>
          <w:tcPr>
            <w:tcW w:type="dxa" w:w="1656"/>
            <w:tcMar>
              <w:top w:w="90" w:type="dxa"/>
              <w:start w:w="120" w:type="dxa"/>
              <w:bottom w:w="90" w:type="dxa"/>
              <w:end w:w="120" w:type="dxa"/>
            </w:tcMar>
            <w:vAlign w:val="center"/>
          </w:tcPr>
          <w:p>
            <w:pPr>
              <w:spacing w:after="0" w:line="259" w:lineRule="auto"/>
            </w:pPr>
            <w:r>
              <w:rPr>
                <w:sz w:val="16"/>
              </w:rPr>
              <w:t>Major</w:t>
            </w:r>
          </w:p>
        </w:tc>
        <w:tc>
          <w:tcPr>
            <w:tcW w:type="dxa" w:w="3744"/>
            <w:tcMar>
              <w:top w:w="90" w:type="dxa"/>
              <w:start w:w="120" w:type="dxa"/>
              <w:bottom w:w="90" w:type="dxa"/>
              <w:end w:w="120" w:type="dxa"/>
            </w:tcMar>
            <w:vAlign w:val="center"/>
          </w:tcPr>
          <w:p>
            <w:pPr>
              <w:spacing w:after="0" w:line="259" w:lineRule="auto"/>
            </w:pPr>
            <w:r>
              <w:rPr>
                <w:sz w:val="16"/>
              </w:rPr>
              <w:t>Ny pligt, ændret prioritet, fjernet beskyttelse eller nyt forbud</w:t>
            </w:r>
          </w:p>
        </w:tc>
        <w:tc>
          <w:tcPr>
            <w:tcW w:type="dxa" w:w="3960"/>
            <w:tcMar>
              <w:top w:w="90" w:type="dxa"/>
              <w:start w:w="120" w:type="dxa"/>
              <w:bottom w:w="90" w:type="dxa"/>
              <w:end w:w="120" w:type="dxa"/>
            </w:tcMar>
            <w:vAlign w:val="center"/>
          </w:tcPr>
          <w:p>
            <w:pPr>
              <w:spacing w:after="0" w:line="259" w:lineRule="auto"/>
            </w:pPr>
            <w:r>
              <w:rPr>
                <w:sz w:val="16"/>
              </w:rPr>
              <w:t>Samme proces som ny ratificering</w:t>
            </w:r>
          </w:p>
        </w:tc>
      </w:tr>
      <w:tr>
        <w:tc>
          <w:tcPr>
            <w:tcW w:type="dxa" w:w="1656"/>
            <w:tcMar>
              <w:top w:w="90" w:type="dxa"/>
              <w:start w:w="120" w:type="dxa"/>
              <w:bottom w:w="90" w:type="dxa"/>
              <w:end w:w="120" w:type="dxa"/>
            </w:tcMar>
            <w:vAlign w:val="center"/>
          </w:tcPr>
          <w:p>
            <w:pPr>
              <w:shd w:fill="F7F9FA"/>
              <w:spacing w:after="0" w:line="259" w:lineRule="auto"/>
            </w:pPr>
            <w:r>
              <w:rPr>
                <w:sz w:val="16"/>
              </w:rPr>
              <w:t>Emergency</w:t>
            </w:r>
          </w:p>
        </w:tc>
        <w:tc>
          <w:tcPr>
            <w:tcW w:type="dxa" w:w="3744"/>
            <w:tcMar>
              <w:top w:w="90" w:type="dxa"/>
              <w:start w:w="120" w:type="dxa"/>
              <w:bottom w:w="90" w:type="dxa"/>
              <w:end w:w="120" w:type="dxa"/>
            </w:tcMar>
            <w:vAlign w:val="center"/>
          </w:tcPr>
          <w:p>
            <w:pPr>
              <w:shd w:fill="F7F9FA"/>
              <w:spacing w:after="0" w:line="259" w:lineRule="auto"/>
            </w:pPr>
            <w:r>
              <w:rPr>
                <w:sz w:val="16"/>
              </w:rPr>
              <w:t>Midlertidig begrænsning efter alvorlig hændelse</w:t>
            </w:r>
          </w:p>
        </w:tc>
        <w:tc>
          <w:tcPr>
            <w:tcW w:type="dxa" w:w="3960"/>
            <w:tcMar>
              <w:top w:w="90" w:type="dxa"/>
              <w:start w:w="120" w:type="dxa"/>
              <w:bottom w:w="90" w:type="dxa"/>
              <w:end w:w="120" w:type="dxa"/>
            </w:tcMar>
            <w:vAlign w:val="center"/>
          </w:tcPr>
          <w:p>
            <w:pPr>
              <w:shd w:fill="F7F9FA"/>
              <w:spacing w:after="0" w:line="259" w:lineRule="auto"/>
            </w:pPr>
            <w:r>
              <w:rPr>
                <w:sz w:val="16"/>
              </w:rPr>
              <w:t>Safety Board; udløb ≤90 dage; efterfølgende fuld review</w:t>
            </w:r>
          </w:p>
        </w:tc>
      </w:tr>
      <w:tr>
        <w:tc>
          <w:tcPr>
            <w:tcW w:type="dxa" w:w="1656"/>
            <w:tcMar>
              <w:top w:w="90" w:type="dxa"/>
              <w:start w:w="120" w:type="dxa"/>
              <w:bottom w:w="90" w:type="dxa"/>
              <w:end w:w="120" w:type="dxa"/>
            </w:tcMar>
            <w:vAlign w:val="center"/>
          </w:tcPr>
          <w:p>
            <w:pPr>
              <w:spacing w:after="0" w:line="259" w:lineRule="auto"/>
            </w:pPr>
            <w:r>
              <w:rPr>
                <w:sz w:val="16"/>
              </w:rPr>
              <w:t>Exception</w:t>
            </w:r>
          </w:p>
        </w:tc>
        <w:tc>
          <w:tcPr>
            <w:tcW w:type="dxa" w:w="3744"/>
            <w:tcMar>
              <w:top w:w="90" w:type="dxa"/>
              <w:start w:w="120" w:type="dxa"/>
              <w:bottom w:w="90" w:type="dxa"/>
              <w:end w:w="120" w:type="dxa"/>
            </w:tcMar>
            <w:vAlign w:val="center"/>
          </w:tcPr>
          <w:p>
            <w:pPr>
              <w:spacing w:after="0" w:line="259" w:lineRule="auto"/>
            </w:pPr>
            <w:r>
              <w:rPr>
                <w:sz w:val="16"/>
              </w:rPr>
              <w:t>Scoped afvigelse fra DP/ADR/PRD</w:t>
            </w:r>
          </w:p>
        </w:tc>
        <w:tc>
          <w:tcPr>
            <w:tcW w:type="dxa" w:w="3960"/>
            <w:tcMar>
              <w:top w:w="90" w:type="dxa"/>
              <w:start w:w="120" w:type="dxa"/>
              <w:bottom w:w="90" w:type="dxa"/>
              <w:end w:w="120" w:type="dxa"/>
            </w:tcMar>
            <w:vAlign w:val="center"/>
          </w:tcPr>
          <w:p>
            <w:pPr>
              <w:spacing w:after="0" w:line="259" w:lineRule="auto"/>
            </w:pPr>
            <w:r>
              <w:rPr>
                <w:sz w:val="16"/>
              </w:rPr>
              <w:t>Navngiven ejer, rationale, risiko, monitorering og udløb</w:t>
            </w:r>
          </w:p>
        </w:tc>
      </w:tr>
    </w:tbl>
    <w:p>
      <w:pPr>
        <w:spacing w:after="0"/>
      </w:pPr>
    </w:p>
    <w:p>
      <w:pPr>
        <w:pStyle w:val="Heading2"/>
      </w:pPr>
      <w:r>
        <w:t>Forbudte undtagelser</w:t>
      </w:r>
    </w:p>
    <w:p>
      <w:pPr>
        <w:pStyle w:val="ListBullet"/>
        <w:spacing w:after="80" w:line="300" w:lineRule="auto"/>
      </w:pPr>
      <w:r>
        <w:t>Ingen exception fra menneskelig værdighed eller forbuddet mod skjult instrumentalisering.</w:t>
      </w:r>
    </w:p>
    <w:p>
      <w:pPr>
        <w:pStyle w:val="ListBullet"/>
        <w:spacing w:after="80" w:line="300" w:lineRule="auto"/>
      </w:pPr>
      <w:r>
        <w:t>Ingen permanent emergency status.</w:t>
      </w:r>
    </w:p>
    <w:p>
      <w:pPr>
        <w:pStyle w:val="ListBullet"/>
        <w:spacing w:after="80" w:line="300" w:lineRule="auto"/>
      </w:pPr>
      <w:r>
        <w:t>Ingen undtagelse uden udløbsdato og observerbare exit-kriterier.</w:t>
      </w:r>
    </w:p>
    <w:p>
      <w:pPr>
        <w:pStyle w:val="ListBullet"/>
        <w:spacing w:after="80" w:line="300" w:lineRule="auto"/>
      </w:pPr>
      <w:r>
        <w:t>Ingen ‘midlertidig pilot’, der producerer klinisk effekt uden Safety Case og Evaluation Protocol proportional med risiko.</w:t>
      </w:r>
    </w:p>
    <w:p>
      <w:r>
        <w:br w:type="page"/>
      </w:r>
    </w:p>
    <w:p>
      <w:pPr>
        <w:spacing w:after="60"/>
      </w:pPr>
      <w:r>
        <w:rPr>
          <w:b/>
          <w:color w:val="667085"/>
          <w:sz w:val="18"/>
        </w:rPr>
        <w:t>GOVERNANCE BODIES</w:t>
      </w:r>
    </w:p>
    <w:p>
      <w:pPr>
        <w:pStyle w:val="Heading1"/>
      </w:pPr>
      <w:r>
        <w:t>10. Organer og roller</w:t>
      </w:r>
    </w:p>
    <w:tbl>
      <w:tblPr>
        <w:tblW w:type="dxa" w:w="9360"/>
        <w:jc w:val="left"/>
        <w:tblLayout w:type="fixed"/>
        <w:tblLook w:firstColumn="1" w:firstRow="1" w:lastColumn="0" w:lastRow="0" w:noHBand="0" w:noVBand="1" w:val="04A0"/>
        <w:tblInd w:w="120" w:type="dxa"/>
      </w:tblPr>
      <w:tblGrid>
        <w:gridCol w:w="2232"/>
        <w:gridCol w:w="3960"/>
        <w:gridCol w:w="3168"/>
      </w:tblGrid>
      <w:tr>
        <w:trPr>
          <w:tblHeader/>
        </w:trPr>
        <w:tc>
          <w:tcPr>
            <w:tcW w:type="dxa" w:w="2232"/>
            <w:tcMar>
              <w:top w:w="90" w:type="dxa"/>
              <w:start w:w="120" w:type="dxa"/>
              <w:bottom w:w="90" w:type="dxa"/>
              <w:end w:w="120" w:type="dxa"/>
            </w:tcMar>
            <w:vAlign w:val="center"/>
          </w:tcPr>
          <w:p>
            <w:pPr>
              <w:shd w:fill="DCE6EB"/>
            </w:pPr>
            <w:r>
              <w:rPr>
                <w:b/>
                <w:color w:val="15324A"/>
                <w:sz w:val="15"/>
              </w:rPr>
              <w:t>Organ</w:t>
            </w:r>
          </w:p>
        </w:tc>
        <w:tc>
          <w:tcPr>
            <w:tcW w:type="dxa" w:w="3960"/>
            <w:tcMar>
              <w:top w:w="90" w:type="dxa"/>
              <w:start w:w="120" w:type="dxa"/>
              <w:bottom w:w="90" w:type="dxa"/>
              <w:end w:w="120" w:type="dxa"/>
            </w:tcMar>
            <w:vAlign w:val="center"/>
          </w:tcPr>
          <w:p>
            <w:pPr>
              <w:shd w:fill="DCE6EB"/>
            </w:pPr>
            <w:r>
              <w:rPr>
                <w:b/>
                <w:color w:val="15324A"/>
                <w:sz w:val="15"/>
              </w:rPr>
              <w:t>Mandat</w:t>
            </w:r>
          </w:p>
        </w:tc>
        <w:tc>
          <w:tcPr>
            <w:tcW w:type="dxa" w:w="3168"/>
            <w:tcMar>
              <w:top w:w="90" w:type="dxa"/>
              <w:start w:w="120" w:type="dxa"/>
              <w:bottom w:w="90" w:type="dxa"/>
              <w:end w:w="120" w:type="dxa"/>
            </w:tcMar>
            <w:vAlign w:val="center"/>
          </w:tcPr>
          <w:p>
            <w:pPr>
              <w:shd w:fill="DCE6EB"/>
            </w:pPr>
            <w:r>
              <w:rPr>
                <w:b/>
                <w:color w:val="15324A"/>
                <w:sz w:val="15"/>
              </w:rPr>
              <w:t>Må ikke</w:t>
            </w:r>
          </w:p>
        </w:tc>
      </w:tr>
      <w:tr>
        <w:tc>
          <w:tcPr>
            <w:tcW w:type="dxa" w:w="2232"/>
            <w:tcMar>
              <w:top w:w="90" w:type="dxa"/>
              <w:start w:w="120" w:type="dxa"/>
              <w:bottom w:w="90" w:type="dxa"/>
              <w:end w:w="120" w:type="dxa"/>
            </w:tcMar>
            <w:vAlign w:val="center"/>
          </w:tcPr>
          <w:p>
            <w:pPr>
              <w:spacing w:after="0" w:line="259" w:lineRule="auto"/>
            </w:pPr>
            <w:r>
              <w:rPr>
                <w:sz w:val="15"/>
              </w:rPr>
              <w:t>Constitution Council</w:t>
            </w:r>
          </w:p>
        </w:tc>
        <w:tc>
          <w:tcPr>
            <w:tcW w:type="dxa" w:w="3960"/>
            <w:tcMar>
              <w:top w:w="90" w:type="dxa"/>
              <w:start w:w="120" w:type="dxa"/>
              <w:bottom w:w="90" w:type="dxa"/>
              <w:end w:w="120" w:type="dxa"/>
            </w:tcMar>
            <w:vAlign w:val="center"/>
          </w:tcPr>
          <w:p>
            <w:pPr>
              <w:spacing w:after="0" w:line="259" w:lineRule="auto"/>
            </w:pPr>
            <w:r>
              <w:rPr>
                <w:sz w:val="15"/>
              </w:rPr>
              <w:t>Ratificere Constitution, konflikthierarki og major governance changes</w:t>
            </w:r>
          </w:p>
        </w:tc>
        <w:tc>
          <w:tcPr>
            <w:tcW w:type="dxa" w:w="3168"/>
            <w:tcMar>
              <w:top w:w="90" w:type="dxa"/>
              <w:start w:w="120" w:type="dxa"/>
              <w:bottom w:w="90" w:type="dxa"/>
              <w:end w:w="120" w:type="dxa"/>
            </w:tcMar>
            <w:vAlign w:val="center"/>
          </w:tcPr>
          <w:p>
            <w:pPr>
              <w:spacing w:after="0" w:line="259" w:lineRule="auto"/>
            </w:pPr>
            <w:r>
              <w:rPr>
                <w:sz w:val="15"/>
              </w:rPr>
              <w:t>Godkende features eller vælge leverandører</w:t>
            </w:r>
          </w:p>
        </w:tc>
      </w:tr>
      <w:tr>
        <w:tc>
          <w:tcPr>
            <w:tcW w:type="dxa" w:w="2232"/>
            <w:tcMar>
              <w:top w:w="90" w:type="dxa"/>
              <w:start w:w="120" w:type="dxa"/>
              <w:bottom w:w="90" w:type="dxa"/>
              <w:end w:w="120" w:type="dxa"/>
            </w:tcMar>
            <w:vAlign w:val="center"/>
          </w:tcPr>
          <w:p>
            <w:pPr>
              <w:shd w:fill="F7F9FA"/>
              <w:spacing w:after="0" w:line="259" w:lineRule="auto"/>
            </w:pPr>
            <w:r>
              <w:rPr>
                <w:sz w:val="15"/>
              </w:rPr>
              <w:t>Clinical Safety Board</w:t>
            </w:r>
          </w:p>
        </w:tc>
        <w:tc>
          <w:tcPr>
            <w:tcW w:type="dxa" w:w="3960"/>
            <w:tcMar>
              <w:top w:w="90" w:type="dxa"/>
              <w:start w:w="120" w:type="dxa"/>
              <w:bottom w:w="90" w:type="dxa"/>
              <w:end w:w="120" w:type="dxa"/>
            </w:tcMar>
            <w:vAlign w:val="center"/>
          </w:tcPr>
          <w:p>
            <w:pPr>
              <w:shd w:fill="F7F9FA"/>
              <w:spacing w:after="0" w:line="259" w:lineRule="auto"/>
            </w:pPr>
            <w:r>
              <w:rPr>
                <w:sz w:val="15"/>
              </w:rPr>
              <w:t>Acceptere safety cases, residualrisiko, releasehold og emergency action</w:t>
            </w:r>
          </w:p>
        </w:tc>
        <w:tc>
          <w:tcPr>
            <w:tcW w:type="dxa" w:w="3168"/>
            <w:tcMar>
              <w:top w:w="90" w:type="dxa"/>
              <w:start w:w="120" w:type="dxa"/>
              <w:bottom w:w="90" w:type="dxa"/>
              <w:end w:w="120" w:type="dxa"/>
            </w:tcMar>
            <w:vAlign w:val="center"/>
          </w:tcPr>
          <w:p>
            <w:pPr>
              <w:shd w:fill="F7F9FA"/>
              <w:spacing w:after="0" w:line="259" w:lineRule="auto"/>
            </w:pPr>
            <w:r>
              <w:rPr>
                <w:sz w:val="15"/>
              </w:rPr>
              <w:t>Eje produktroadmap</w:t>
            </w:r>
          </w:p>
        </w:tc>
      </w:tr>
      <w:tr>
        <w:tc>
          <w:tcPr>
            <w:tcW w:type="dxa" w:w="2232"/>
            <w:tcMar>
              <w:top w:w="90" w:type="dxa"/>
              <w:start w:w="120" w:type="dxa"/>
              <w:bottom w:w="90" w:type="dxa"/>
              <w:end w:w="120" w:type="dxa"/>
            </w:tcMar>
            <w:vAlign w:val="center"/>
          </w:tcPr>
          <w:p>
            <w:pPr>
              <w:spacing w:after="0" w:line="259" w:lineRule="auto"/>
            </w:pPr>
            <w:r>
              <w:rPr>
                <w:sz w:val="15"/>
              </w:rPr>
              <w:t>Evidence Stewardship Group</w:t>
            </w:r>
          </w:p>
        </w:tc>
        <w:tc>
          <w:tcPr>
            <w:tcW w:type="dxa" w:w="3960"/>
            <w:tcMar>
              <w:top w:w="90" w:type="dxa"/>
              <w:start w:w="120" w:type="dxa"/>
              <w:bottom w:w="90" w:type="dxa"/>
              <w:end w:w="120" w:type="dxa"/>
            </w:tcMar>
            <w:vAlign w:val="center"/>
          </w:tcPr>
          <w:p>
            <w:pPr>
              <w:spacing w:after="0" w:line="259" w:lineRule="auto"/>
            </w:pPr>
            <w:r>
              <w:rPr>
                <w:sz w:val="15"/>
              </w:rPr>
              <w:t>Forvalte evidensstandard, provenance, udløb og guideline-konflikter</w:t>
            </w:r>
          </w:p>
        </w:tc>
        <w:tc>
          <w:tcPr>
            <w:tcW w:type="dxa" w:w="3168"/>
            <w:tcMar>
              <w:top w:w="90" w:type="dxa"/>
              <w:start w:w="120" w:type="dxa"/>
              <w:bottom w:w="90" w:type="dxa"/>
              <w:end w:w="120" w:type="dxa"/>
            </w:tcMar>
            <w:vAlign w:val="center"/>
          </w:tcPr>
          <w:p>
            <w:pPr>
              <w:spacing w:after="0" w:line="259" w:lineRule="auto"/>
            </w:pPr>
            <w:r>
              <w:rPr>
                <w:sz w:val="15"/>
              </w:rPr>
              <w:t>Bestemme kliniske mål alene</w:t>
            </w:r>
          </w:p>
        </w:tc>
      </w:tr>
      <w:tr>
        <w:tc>
          <w:tcPr>
            <w:tcW w:type="dxa" w:w="2232"/>
            <w:tcMar>
              <w:top w:w="90" w:type="dxa"/>
              <w:start w:w="120" w:type="dxa"/>
              <w:bottom w:w="90" w:type="dxa"/>
              <w:end w:w="120" w:type="dxa"/>
            </w:tcMar>
            <w:vAlign w:val="center"/>
          </w:tcPr>
          <w:p>
            <w:pPr>
              <w:shd w:fill="F7F9FA"/>
              <w:spacing w:after="0" w:line="259" w:lineRule="auto"/>
            </w:pPr>
            <w:r>
              <w:rPr>
                <w:sz w:val="15"/>
              </w:rPr>
              <w:t>Design &amp; Human Factors Council</w:t>
            </w:r>
          </w:p>
        </w:tc>
        <w:tc>
          <w:tcPr>
            <w:tcW w:type="dxa" w:w="3960"/>
            <w:tcMar>
              <w:top w:w="90" w:type="dxa"/>
              <w:start w:w="120" w:type="dxa"/>
              <w:bottom w:w="90" w:type="dxa"/>
              <w:end w:w="120" w:type="dxa"/>
            </w:tcMar>
            <w:vAlign w:val="center"/>
          </w:tcPr>
          <w:p>
            <w:pPr>
              <w:shd w:fill="F7F9FA"/>
              <w:spacing w:after="0" w:line="259" w:lineRule="auto"/>
            </w:pPr>
            <w:r>
              <w:rPr>
                <w:sz w:val="15"/>
              </w:rPr>
              <w:t>Ratificere DP og attention/interaction-standarder</w:t>
            </w:r>
          </w:p>
        </w:tc>
        <w:tc>
          <w:tcPr>
            <w:tcW w:type="dxa" w:w="3168"/>
            <w:tcMar>
              <w:top w:w="90" w:type="dxa"/>
              <w:start w:w="120" w:type="dxa"/>
              <w:bottom w:w="90" w:type="dxa"/>
              <w:end w:w="120" w:type="dxa"/>
            </w:tcMar>
            <w:vAlign w:val="center"/>
          </w:tcPr>
          <w:p>
            <w:pPr>
              <w:shd w:fill="F7F9FA"/>
              <w:spacing w:after="0" w:line="259" w:lineRule="auto"/>
            </w:pPr>
            <w:r>
              <w:rPr>
                <w:sz w:val="15"/>
              </w:rPr>
              <w:t>Overtrumfe safety uden eskalation</w:t>
            </w:r>
          </w:p>
        </w:tc>
      </w:tr>
      <w:tr>
        <w:tc>
          <w:tcPr>
            <w:tcW w:type="dxa" w:w="2232"/>
            <w:tcMar>
              <w:top w:w="90" w:type="dxa"/>
              <w:start w:w="120" w:type="dxa"/>
              <w:bottom w:w="90" w:type="dxa"/>
              <w:end w:w="120" w:type="dxa"/>
            </w:tcMar>
            <w:vAlign w:val="center"/>
          </w:tcPr>
          <w:p>
            <w:pPr>
              <w:spacing w:after="0" w:line="259" w:lineRule="auto"/>
            </w:pPr>
            <w:r>
              <w:rPr>
                <w:sz w:val="15"/>
              </w:rPr>
              <w:t>Architecture Council</w:t>
            </w:r>
          </w:p>
        </w:tc>
        <w:tc>
          <w:tcPr>
            <w:tcW w:type="dxa" w:w="3960"/>
            <w:tcMar>
              <w:top w:w="90" w:type="dxa"/>
              <w:start w:w="120" w:type="dxa"/>
              <w:bottom w:w="90" w:type="dxa"/>
              <w:end w:w="120" w:type="dxa"/>
            </w:tcMar>
            <w:vAlign w:val="center"/>
          </w:tcPr>
          <w:p>
            <w:pPr>
              <w:spacing w:after="0" w:line="259" w:lineRule="auto"/>
            </w:pPr>
            <w:r>
              <w:rPr>
                <w:sz w:val="15"/>
              </w:rPr>
              <w:t>Godkende ADR og tekniske invariants</w:t>
            </w:r>
          </w:p>
        </w:tc>
        <w:tc>
          <w:tcPr>
            <w:tcW w:type="dxa" w:w="3168"/>
            <w:tcMar>
              <w:top w:w="90" w:type="dxa"/>
              <w:start w:w="120" w:type="dxa"/>
              <w:bottom w:w="90" w:type="dxa"/>
              <w:end w:w="120" w:type="dxa"/>
            </w:tcMar>
            <w:vAlign w:val="center"/>
          </w:tcPr>
          <w:p>
            <w:pPr>
              <w:spacing w:after="0" w:line="259" w:lineRule="auto"/>
            </w:pPr>
            <w:r>
              <w:rPr>
                <w:sz w:val="15"/>
              </w:rPr>
              <w:t>Skjule normative valg som teknik</w:t>
            </w:r>
          </w:p>
        </w:tc>
      </w:tr>
      <w:tr>
        <w:tc>
          <w:tcPr>
            <w:tcW w:type="dxa" w:w="2232"/>
            <w:tcMar>
              <w:top w:w="90" w:type="dxa"/>
              <w:start w:w="120" w:type="dxa"/>
              <w:bottom w:w="90" w:type="dxa"/>
              <w:end w:w="120" w:type="dxa"/>
            </w:tcMar>
            <w:vAlign w:val="center"/>
          </w:tcPr>
          <w:p>
            <w:pPr>
              <w:shd w:fill="F7F9FA"/>
              <w:spacing w:after="0" w:line="259" w:lineRule="auto"/>
            </w:pPr>
            <w:r>
              <w:rPr>
                <w:sz w:val="15"/>
              </w:rPr>
              <w:t>Product Council</w:t>
            </w:r>
          </w:p>
        </w:tc>
        <w:tc>
          <w:tcPr>
            <w:tcW w:type="dxa" w:w="3960"/>
            <w:tcMar>
              <w:top w:w="90" w:type="dxa"/>
              <w:start w:w="120" w:type="dxa"/>
              <w:bottom w:w="90" w:type="dxa"/>
              <w:end w:w="120" w:type="dxa"/>
            </w:tcMar>
            <w:vAlign w:val="center"/>
          </w:tcPr>
          <w:p>
            <w:pPr>
              <w:shd w:fill="F7F9FA"/>
              <w:spacing w:after="0" w:line="259" w:lineRule="auto"/>
            </w:pPr>
            <w:r>
              <w:rPr>
                <w:sz w:val="15"/>
              </w:rPr>
              <w:t>Prioritere PRD og roadmap inden for højere normer</w:t>
            </w:r>
          </w:p>
        </w:tc>
        <w:tc>
          <w:tcPr>
            <w:tcW w:type="dxa" w:w="3168"/>
            <w:tcMar>
              <w:top w:w="90" w:type="dxa"/>
              <w:start w:w="120" w:type="dxa"/>
              <w:bottom w:w="90" w:type="dxa"/>
              <w:end w:w="120" w:type="dxa"/>
            </w:tcMar>
            <w:vAlign w:val="center"/>
          </w:tcPr>
          <w:p>
            <w:pPr>
              <w:shd w:fill="F7F9FA"/>
              <w:spacing w:after="0" w:line="259" w:lineRule="auto"/>
            </w:pPr>
            <w:r>
              <w:rPr>
                <w:sz w:val="15"/>
              </w:rPr>
              <w:t>Ændre governance for at nå deadline</w:t>
            </w:r>
          </w:p>
        </w:tc>
      </w:tr>
      <w:tr>
        <w:tc>
          <w:tcPr>
            <w:tcW w:type="dxa" w:w="2232"/>
            <w:tcMar>
              <w:top w:w="90" w:type="dxa"/>
              <w:start w:w="120" w:type="dxa"/>
              <w:bottom w:w="90" w:type="dxa"/>
              <w:end w:w="120" w:type="dxa"/>
            </w:tcMar>
            <w:vAlign w:val="center"/>
          </w:tcPr>
          <w:p>
            <w:pPr>
              <w:spacing w:after="0" w:line="259" w:lineRule="auto"/>
            </w:pPr>
            <w:r>
              <w:rPr>
                <w:sz w:val="15"/>
              </w:rPr>
              <w:t>Patient &amp; Public Panel</w:t>
            </w:r>
          </w:p>
        </w:tc>
        <w:tc>
          <w:tcPr>
            <w:tcW w:type="dxa" w:w="3960"/>
            <w:tcMar>
              <w:top w:w="90" w:type="dxa"/>
              <w:start w:w="120" w:type="dxa"/>
              <w:bottom w:w="90" w:type="dxa"/>
              <w:end w:w="120" w:type="dxa"/>
            </w:tcMar>
            <w:vAlign w:val="center"/>
          </w:tcPr>
          <w:p>
            <w:pPr>
              <w:spacing w:after="0" w:line="259" w:lineRule="auto"/>
            </w:pPr>
            <w:r>
              <w:rPr>
                <w:sz w:val="15"/>
              </w:rPr>
              <w:t>Prøve værdighed, autonomi, forståelighed og fordelingsvirkning</w:t>
            </w:r>
          </w:p>
        </w:tc>
        <w:tc>
          <w:tcPr>
            <w:tcW w:type="dxa" w:w="3168"/>
            <w:tcMar>
              <w:top w:w="90" w:type="dxa"/>
              <w:start w:w="120" w:type="dxa"/>
              <w:bottom w:w="90" w:type="dxa"/>
              <w:end w:w="120" w:type="dxa"/>
            </w:tcMar>
            <w:vAlign w:val="center"/>
          </w:tcPr>
          <w:p>
            <w:pPr>
              <w:spacing w:after="0" w:line="259" w:lineRule="auto"/>
            </w:pPr>
            <w:r>
              <w:rPr>
                <w:sz w:val="15"/>
              </w:rPr>
              <w:t>Bære juridisk safety-ansvar</w:t>
            </w:r>
          </w:p>
        </w:tc>
      </w:tr>
      <w:tr>
        <w:tc>
          <w:tcPr>
            <w:tcW w:type="dxa" w:w="2232"/>
            <w:tcMar>
              <w:top w:w="90" w:type="dxa"/>
              <w:start w:w="120" w:type="dxa"/>
              <w:bottom w:w="90" w:type="dxa"/>
              <w:end w:w="120" w:type="dxa"/>
            </w:tcMar>
            <w:vAlign w:val="center"/>
          </w:tcPr>
          <w:p>
            <w:pPr>
              <w:shd w:fill="F7F9FA"/>
              <w:spacing w:after="0" w:line="259" w:lineRule="auto"/>
            </w:pPr>
            <w:r>
              <w:rPr>
                <w:sz w:val="15"/>
              </w:rPr>
              <w:t>Research &amp; Evaluation Board</w:t>
            </w:r>
          </w:p>
        </w:tc>
        <w:tc>
          <w:tcPr>
            <w:tcW w:type="dxa" w:w="3960"/>
            <w:tcMar>
              <w:top w:w="90" w:type="dxa"/>
              <w:start w:w="120" w:type="dxa"/>
              <w:bottom w:w="90" w:type="dxa"/>
              <w:end w:w="120" w:type="dxa"/>
            </w:tcMar>
            <w:vAlign w:val="center"/>
          </w:tcPr>
          <w:p>
            <w:pPr>
              <w:shd w:fill="F7F9FA"/>
              <w:spacing w:after="0" w:line="259" w:lineRule="auto"/>
            </w:pPr>
            <w:r>
              <w:rPr>
                <w:sz w:val="15"/>
              </w:rPr>
              <w:t>Godkende EP, RA og evidensfortolkning</w:t>
            </w:r>
          </w:p>
        </w:tc>
        <w:tc>
          <w:tcPr>
            <w:tcW w:type="dxa" w:w="3168"/>
            <w:tcMar>
              <w:top w:w="90" w:type="dxa"/>
              <w:start w:w="120" w:type="dxa"/>
              <w:bottom w:w="90" w:type="dxa"/>
              <w:end w:w="120" w:type="dxa"/>
            </w:tcMar>
            <w:vAlign w:val="center"/>
          </w:tcPr>
          <w:p>
            <w:pPr>
              <w:shd w:fill="F7F9FA"/>
              <w:spacing w:after="0" w:line="259" w:lineRule="auto"/>
            </w:pPr>
            <w:r>
              <w:rPr>
                <w:sz w:val="15"/>
              </w:rPr>
              <w:t>Gøre eksperimenter til drift uden releasegate</w:t>
            </w:r>
          </w:p>
        </w:tc>
      </w:tr>
      <w:tr>
        <w:tc>
          <w:tcPr>
            <w:tcW w:type="dxa" w:w="2232"/>
            <w:tcMar>
              <w:top w:w="90" w:type="dxa"/>
              <w:start w:w="120" w:type="dxa"/>
              <w:bottom w:w="90" w:type="dxa"/>
              <w:end w:w="120" w:type="dxa"/>
            </w:tcMar>
            <w:vAlign w:val="center"/>
          </w:tcPr>
          <w:p>
            <w:pPr>
              <w:spacing w:after="0" w:line="259" w:lineRule="auto"/>
            </w:pPr>
            <w:r>
              <w:rPr>
                <w:sz w:val="15"/>
              </w:rPr>
              <w:t>Governance Secretariat</w:t>
            </w:r>
          </w:p>
        </w:tc>
        <w:tc>
          <w:tcPr>
            <w:tcW w:type="dxa" w:w="3960"/>
            <w:tcMar>
              <w:top w:w="90" w:type="dxa"/>
              <w:start w:w="120" w:type="dxa"/>
              <w:bottom w:w="90" w:type="dxa"/>
              <w:end w:w="120" w:type="dxa"/>
            </w:tcMar>
            <w:vAlign w:val="center"/>
          </w:tcPr>
          <w:p>
            <w:pPr>
              <w:spacing w:after="0" w:line="259" w:lineRule="auto"/>
            </w:pPr>
            <w:r>
              <w:rPr>
                <w:sz w:val="15"/>
              </w:rPr>
              <w:t>Registrere, versionere, publicere og kontrollere sporbarhed</w:t>
            </w:r>
          </w:p>
        </w:tc>
        <w:tc>
          <w:tcPr>
            <w:tcW w:type="dxa" w:w="3168"/>
            <w:tcMar>
              <w:top w:w="90" w:type="dxa"/>
              <w:start w:w="120" w:type="dxa"/>
              <w:bottom w:w="90" w:type="dxa"/>
              <w:end w:w="120" w:type="dxa"/>
            </w:tcMar>
            <w:vAlign w:val="center"/>
          </w:tcPr>
          <w:p>
            <w:pPr>
              <w:spacing w:after="0" w:line="259" w:lineRule="auto"/>
            </w:pPr>
            <w:r>
              <w:rPr>
                <w:sz w:val="15"/>
              </w:rPr>
              <w:t>Afgøre substantielle konflikter</w:t>
            </w:r>
          </w:p>
        </w:tc>
      </w:tr>
    </w:tbl>
    <w:p>
      <w:pPr>
        <w:spacing w:after="0"/>
      </w:pPr>
    </w:p>
    <w:p>
      <w:r>
        <w:br w:type="page"/>
      </w:r>
    </w:p>
    <w:p>
      <w:pPr>
        <w:spacing w:after="60"/>
      </w:pPr>
      <w:r>
        <w:rPr>
          <w:b/>
          <w:color w:val="667085"/>
          <w:sz w:val="18"/>
        </w:rPr>
        <w:t>RACI FOR CENTRALE HANDLINGER</w:t>
      </w:r>
    </w:p>
    <w:p>
      <w:pPr>
        <w:pStyle w:val="Heading1"/>
      </w:pPr>
      <w:r>
        <w:t>11. Beslutningsrettigheder</w:t>
      </w:r>
    </w:p>
    <w:tbl>
      <w:tblPr>
        <w:tblW w:type="dxa" w:w="9360"/>
        <w:jc w:val="left"/>
        <w:tblLayout w:type="fixed"/>
        <w:tblLook w:firstColumn="1" w:firstRow="1" w:lastColumn="0" w:lastRow="0" w:noHBand="0" w:noVBand="1" w:val="04A0"/>
        <w:tblInd w:w="120" w:type="dxa"/>
      </w:tblPr>
      <w:tblGrid>
        <w:gridCol w:w="2088"/>
        <w:gridCol w:w="2520"/>
        <w:gridCol w:w="2160"/>
        <w:gridCol w:w="2592"/>
      </w:tblGrid>
      <w:tr>
        <w:trPr>
          <w:tblHeader/>
        </w:trPr>
        <w:tc>
          <w:tcPr>
            <w:tcW w:type="dxa" w:w="2088"/>
            <w:tcMar>
              <w:top w:w="90" w:type="dxa"/>
              <w:start w:w="120" w:type="dxa"/>
              <w:bottom w:w="90" w:type="dxa"/>
              <w:end w:w="120" w:type="dxa"/>
            </w:tcMar>
            <w:vAlign w:val="center"/>
          </w:tcPr>
          <w:p>
            <w:pPr>
              <w:shd w:fill="DCE6EB"/>
            </w:pPr>
            <w:r>
              <w:rPr>
                <w:b/>
                <w:color w:val="15324A"/>
                <w:sz w:val="16"/>
              </w:rPr>
              <w:t>Handling</w:t>
            </w:r>
          </w:p>
        </w:tc>
        <w:tc>
          <w:tcPr>
            <w:tcW w:type="dxa" w:w="2520"/>
            <w:tcMar>
              <w:top w:w="90" w:type="dxa"/>
              <w:start w:w="120" w:type="dxa"/>
              <w:bottom w:w="90" w:type="dxa"/>
              <w:end w:w="120" w:type="dxa"/>
            </w:tcMar>
            <w:vAlign w:val="center"/>
          </w:tcPr>
          <w:p>
            <w:pPr>
              <w:shd w:fill="DCE6EB"/>
            </w:pPr>
            <w:r>
              <w:rPr>
                <w:b/>
                <w:color w:val="15324A"/>
                <w:sz w:val="16"/>
              </w:rPr>
              <w:t>A: ansvarlig godkender</w:t>
            </w:r>
          </w:p>
        </w:tc>
        <w:tc>
          <w:tcPr>
            <w:tcW w:type="dxa" w:w="2160"/>
            <w:tcMar>
              <w:top w:w="90" w:type="dxa"/>
              <w:start w:w="120" w:type="dxa"/>
              <w:bottom w:w="90" w:type="dxa"/>
              <w:end w:w="120" w:type="dxa"/>
            </w:tcMar>
            <w:vAlign w:val="center"/>
          </w:tcPr>
          <w:p>
            <w:pPr>
              <w:shd w:fill="DCE6EB"/>
            </w:pPr>
            <w:r>
              <w:rPr>
                <w:b/>
                <w:color w:val="15324A"/>
                <w:sz w:val="16"/>
              </w:rPr>
              <w:t>R: udfører</w:t>
            </w:r>
          </w:p>
        </w:tc>
        <w:tc>
          <w:tcPr>
            <w:tcW w:type="dxa" w:w="2592"/>
            <w:tcMar>
              <w:top w:w="90" w:type="dxa"/>
              <w:start w:w="120" w:type="dxa"/>
              <w:bottom w:w="90" w:type="dxa"/>
              <w:end w:w="120" w:type="dxa"/>
            </w:tcMar>
            <w:vAlign w:val="center"/>
          </w:tcPr>
          <w:p>
            <w:pPr>
              <w:shd w:fill="DCE6EB"/>
            </w:pPr>
            <w:r>
              <w:rPr>
                <w:b/>
                <w:color w:val="15324A"/>
                <w:sz w:val="16"/>
              </w:rPr>
              <w:t>Obligatorisk høring</w:t>
            </w:r>
          </w:p>
        </w:tc>
      </w:tr>
      <w:tr>
        <w:tc>
          <w:tcPr>
            <w:tcW w:type="dxa" w:w="2088"/>
            <w:tcMar>
              <w:top w:w="90" w:type="dxa"/>
              <w:start w:w="120" w:type="dxa"/>
              <w:bottom w:w="90" w:type="dxa"/>
              <w:end w:w="120" w:type="dxa"/>
            </w:tcMar>
            <w:vAlign w:val="center"/>
          </w:tcPr>
          <w:p>
            <w:pPr>
              <w:spacing w:after="0" w:line="259" w:lineRule="auto"/>
            </w:pPr>
            <w:r>
              <w:rPr>
                <w:sz w:val="16"/>
              </w:rPr>
              <w:t>Ændre Constitution</w:t>
            </w:r>
          </w:p>
        </w:tc>
        <w:tc>
          <w:tcPr>
            <w:tcW w:type="dxa" w:w="2520"/>
            <w:tcMar>
              <w:top w:w="90" w:type="dxa"/>
              <w:start w:w="120" w:type="dxa"/>
              <w:bottom w:w="90" w:type="dxa"/>
              <w:end w:w="120" w:type="dxa"/>
            </w:tcMar>
            <w:vAlign w:val="center"/>
          </w:tcPr>
          <w:p>
            <w:pPr>
              <w:spacing w:after="0" w:line="259" w:lineRule="auto"/>
            </w:pPr>
            <w:r>
              <w:rPr>
                <w:sz w:val="16"/>
              </w:rPr>
              <w:t>Constitution Council</w:t>
            </w:r>
          </w:p>
        </w:tc>
        <w:tc>
          <w:tcPr>
            <w:tcW w:type="dxa" w:w="2160"/>
            <w:tcMar>
              <w:top w:w="90" w:type="dxa"/>
              <w:start w:w="120" w:type="dxa"/>
              <w:bottom w:w="90" w:type="dxa"/>
              <w:end w:w="120" w:type="dxa"/>
            </w:tcMar>
            <w:vAlign w:val="center"/>
          </w:tcPr>
          <w:p>
            <w:pPr>
              <w:spacing w:after="0" w:line="259" w:lineRule="auto"/>
            </w:pPr>
            <w:r>
              <w:rPr>
                <w:sz w:val="16"/>
              </w:rPr>
              <w:t>Secretariat + PP owner</w:t>
            </w:r>
          </w:p>
        </w:tc>
        <w:tc>
          <w:tcPr>
            <w:tcW w:type="dxa" w:w="2592"/>
            <w:tcMar>
              <w:top w:w="90" w:type="dxa"/>
              <w:start w:w="120" w:type="dxa"/>
              <w:bottom w:w="90" w:type="dxa"/>
              <w:end w:w="120" w:type="dxa"/>
            </w:tcMar>
            <w:vAlign w:val="center"/>
          </w:tcPr>
          <w:p>
            <w:pPr>
              <w:spacing w:after="0" w:line="259" w:lineRule="auto"/>
            </w:pPr>
            <w:r>
              <w:rPr>
                <w:sz w:val="16"/>
              </w:rPr>
              <w:t>Safety, Patient Panel, Architecture, Ethics</w:t>
            </w:r>
          </w:p>
        </w:tc>
      </w:tr>
      <w:tr>
        <w:tc>
          <w:tcPr>
            <w:tcW w:type="dxa" w:w="2088"/>
            <w:tcMar>
              <w:top w:w="90" w:type="dxa"/>
              <w:start w:w="120" w:type="dxa"/>
              <w:bottom w:w="90" w:type="dxa"/>
              <w:end w:w="120" w:type="dxa"/>
            </w:tcMar>
            <w:vAlign w:val="center"/>
          </w:tcPr>
          <w:p>
            <w:pPr>
              <w:shd w:fill="F7F9FA"/>
              <w:spacing w:after="0" w:line="259" w:lineRule="auto"/>
            </w:pPr>
            <w:r>
              <w:rPr>
                <w:sz w:val="16"/>
              </w:rPr>
              <w:t>Ratificere Position Paper</w:t>
            </w:r>
          </w:p>
        </w:tc>
        <w:tc>
          <w:tcPr>
            <w:tcW w:type="dxa" w:w="2520"/>
            <w:tcMar>
              <w:top w:w="90" w:type="dxa"/>
              <w:start w:w="120" w:type="dxa"/>
              <w:bottom w:w="90" w:type="dxa"/>
              <w:end w:w="120" w:type="dxa"/>
            </w:tcMar>
            <w:vAlign w:val="center"/>
          </w:tcPr>
          <w:p>
            <w:pPr>
              <w:shd w:fill="F7F9FA"/>
              <w:spacing w:after="0" w:line="259" w:lineRule="auto"/>
            </w:pPr>
            <w:r>
              <w:rPr>
                <w:sz w:val="16"/>
              </w:rPr>
              <w:t>Relevant governance owner</w:t>
            </w:r>
          </w:p>
        </w:tc>
        <w:tc>
          <w:tcPr>
            <w:tcW w:type="dxa" w:w="2160"/>
            <w:tcMar>
              <w:top w:w="90" w:type="dxa"/>
              <w:start w:w="120" w:type="dxa"/>
              <w:bottom w:w="90" w:type="dxa"/>
              <w:end w:w="120" w:type="dxa"/>
            </w:tcMar>
            <w:vAlign w:val="center"/>
          </w:tcPr>
          <w:p>
            <w:pPr>
              <w:shd w:fill="F7F9FA"/>
              <w:spacing w:after="0" w:line="259" w:lineRule="auto"/>
            </w:pPr>
            <w:r>
              <w:rPr>
                <w:sz w:val="16"/>
              </w:rPr>
              <w:t>PP author group</w:t>
            </w:r>
          </w:p>
        </w:tc>
        <w:tc>
          <w:tcPr>
            <w:tcW w:type="dxa" w:w="2592"/>
            <w:tcMar>
              <w:top w:w="90" w:type="dxa"/>
              <w:start w:w="120" w:type="dxa"/>
              <w:bottom w:w="90" w:type="dxa"/>
              <w:end w:w="120" w:type="dxa"/>
            </w:tcMar>
            <w:vAlign w:val="center"/>
          </w:tcPr>
          <w:p>
            <w:pPr>
              <w:shd w:fill="F7F9FA"/>
              <w:spacing w:after="0" w:line="259" w:lineRule="auto"/>
            </w:pPr>
            <w:r>
              <w:rPr>
                <w:sz w:val="16"/>
              </w:rPr>
              <w:t>Clinical, Evidence, Patient, Design</w:t>
            </w:r>
          </w:p>
        </w:tc>
      </w:tr>
      <w:tr>
        <w:tc>
          <w:tcPr>
            <w:tcW w:type="dxa" w:w="2088"/>
            <w:tcMar>
              <w:top w:w="90" w:type="dxa"/>
              <w:start w:w="120" w:type="dxa"/>
              <w:bottom w:w="90" w:type="dxa"/>
              <w:end w:w="120" w:type="dxa"/>
            </w:tcMar>
            <w:vAlign w:val="center"/>
          </w:tcPr>
          <w:p>
            <w:pPr>
              <w:spacing w:after="0" w:line="259" w:lineRule="auto"/>
            </w:pPr>
            <w:r>
              <w:rPr>
                <w:sz w:val="16"/>
              </w:rPr>
              <w:t>Godkende Design Principle</w:t>
            </w:r>
          </w:p>
        </w:tc>
        <w:tc>
          <w:tcPr>
            <w:tcW w:type="dxa" w:w="2520"/>
            <w:tcMar>
              <w:top w:w="90" w:type="dxa"/>
              <w:start w:w="120" w:type="dxa"/>
              <w:bottom w:w="90" w:type="dxa"/>
              <w:end w:w="120" w:type="dxa"/>
            </w:tcMar>
            <w:vAlign w:val="center"/>
          </w:tcPr>
          <w:p>
            <w:pPr>
              <w:spacing w:after="0" w:line="259" w:lineRule="auto"/>
            </w:pPr>
            <w:r>
              <w:rPr>
                <w:sz w:val="16"/>
              </w:rPr>
              <w:t>Design &amp; HF Council</w:t>
            </w:r>
          </w:p>
        </w:tc>
        <w:tc>
          <w:tcPr>
            <w:tcW w:type="dxa" w:w="2160"/>
            <w:tcMar>
              <w:top w:w="90" w:type="dxa"/>
              <w:start w:w="120" w:type="dxa"/>
              <w:bottom w:w="90" w:type="dxa"/>
              <w:end w:w="120" w:type="dxa"/>
            </w:tcMar>
            <w:vAlign w:val="center"/>
          </w:tcPr>
          <w:p>
            <w:pPr>
              <w:spacing w:after="0" w:line="259" w:lineRule="auto"/>
            </w:pPr>
            <w:r>
              <w:rPr>
                <w:sz w:val="16"/>
              </w:rPr>
              <w:t>Design owner</w:t>
            </w:r>
          </w:p>
        </w:tc>
        <w:tc>
          <w:tcPr>
            <w:tcW w:type="dxa" w:w="2592"/>
            <w:tcMar>
              <w:top w:w="90" w:type="dxa"/>
              <w:start w:w="120" w:type="dxa"/>
              <w:bottom w:w="90" w:type="dxa"/>
              <w:end w:w="120" w:type="dxa"/>
            </w:tcMar>
            <w:vAlign w:val="center"/>
          </w:tcPr>
          <w:p>
            <w:pPr>
              <w:spacing w:after="0" w:line="259" w:lineRule="auto"/>
            </w:pPr>
            <w:r>
              <w:rPr>
                <w:sz w:val="16"/>
              </w:rPr>
              <w:t>Clinical Safety, Architecture</w:t>
            </w:r>
          </w:p>
        </w:tc>
      </w:tr>
      <w:tr>
        <w:tc>
          <w:tcPr>
            <w:tcW w:type="dxa" w:w="2088"/>
            <w:tcMar>
              <w:top w:w="90" w:type="dxa"/>
              <w:start w:w="120" w:type="dxa"/>
              <w:bottom w:w="90" w:type="dxa"/>
              <w:end w:w="120" w:type="dxa"/>
            </w:tcMar>
            <w:vAlign w:val="center"/>
          </w:tcPr>
          <w:p>
            <w:pPr>
              <w:shd w:fill="F7F9FA"/>
              <w:spacing w:after="0" w:line="259" w:lineRule="auto"/>
            </w:pPr>
            <w:r>
              <w:rPr>
                <w:sz w:val="16"/>
              </w:rPr>
              <w:t>Godkende ADR</w:t>
            </w:r>
          </w:p>
        </w:tc>
        <w:tc>
          <w:tcPr>
            <w:tcW w:type="dxa" w:w="2520"/>
            <w:tcMar>
              <w:top w:w="90" w:type="dxa"/>
              <w:start w:w="120" w:type="dxa"/>
              <w:bottom w:w="90" w:type="dxa"/>
              <w:end w:w="120" w:type="dxa"/>
            </w:tcMar>
            <w:vAlign w:val="center"/>
          </w:tcPr>
          <w:p>
            <w:pPr>
              <w:shd w:fill="F7F9FA"/>
              <w:spacing w:after="0" w:line="259" w:lineRule="auto"/>
            </w:pPr>
            <w:r>
              <w:rPr>
                <w:sz w:val="16"/>
              </w:rPr>
              <w:t>Architecture Council</w:t>
            </w:r>
          </w:p>
        </w:tc>
        <w:tc>
          <w:tcPr>
            <w:tcW w:type="dxa" w:w="2160"/>
            <w:tcMar>
              <w:top w:w="90" w:type="dxa"/>
              <w:start w:w="120" w:type="dxa"/>
              <w:bottom w:w="90" w:type="dxa"/>
              <w:end w:w="120" w:type="dxa"/>
            </w:tcMar>
            <w:vAlign w:val="center"/>
          </w:tcPr>
          <w:p>
            <w:pPr>
              <w:shd w:fill="F7F9FA"/>
              <w:spacing w:after="0" w:line="259" w:lineRule="auto"/>
            </w:pPr>
            <w:r>
              <w:rPr>
                <w:sz w:val="16"/>
              </w:rPr>
              <w:t>Tech lead</w:t>
            </w:r>
          </w:p>
        </w:tc>
        <w:tc>
          <w:tcPr>
            <w:tcW w:type="dxa" w:w="2592"/>
            <w:tcMar>
              <w:top w:w="90" w:type="dxa"/>
              <w:start w:w="120" w:type="dxa"/>
              <w:bottom w:w="90" w:type="dxa"/>
              <w:end w:w="120" w:type="dxa"/>
            </w:tcMar>
            <w:vAlign w:val="center"/>
          </w:tcPr>
          <w:p>
            <w:pPr>
              <w:shd w:fill="F7F9FA"/>
              <w:spacing w:after="0" w:line="259" w:lineRule="auto"/>
            </w:pPr>
            <w:r>
              <w:rPr>
                <w:sz w:val="16"/>
              </w:rPr>
              <w:t>Safety, Data, Evidence, Product</w:t>
            </w:r>
          </w:p>
        </w:tc>
      </w:tr>
      <w:tr>
        <w:tc>
          <w:tcPr>
            <w:tcW w:type="dxa" w:w="2088"/>
            <w:tcMar>
              <w:top w:w="90" w:type="dxa"/>
              <w:start w:w="120" w:type="dxa"/>
              <w:bottom w:w="90" w:type="dxa"/>
              <w:end w:w="120" w:type="dxa"/>
            </w:tcMar>
            <w:vAlign w:val="center"/>
          </w:tcPr>
          <w:p>
            <w:pPr>
              <w:spacing w:after="0" w:line="259" w:lineRule="auto"/>
            </w:pPr>
            <w:r>
              <w:rPr>
                <w:sz w:val="16"/>
              </w:rPr>
              <w:t>Acceptere residualrisiko</w:t>
            </w:r>
          </w:p>
        </w:tc>
        <w:tc>
          <w:tcPr>
            <w:tcW w:type="dxa" w:w="2520"/>
            <w:tcMar>
              <w:top w:w="90" w:type="dxa"/>
              <w:start w:w="120" w:type="dxa"/>
              <w:bottom w:w="90" w:type="dxa"/>
              <w:end w:w="120" w:type="dxa"/>
            </w:tcMar>
            <w:vAlign w:val="center"/>
          </w:tcPr>
          <w:p>
            <w:pPr>
              <w:spacing w:after="0" w:line="259" w:lineRule="auto"/>
            </w:pPr>
            <w:r>
              <w:rPr>
                <w:sz w:val="16"/>
              </w:rPr>
              <w:t>Clinical Safety Board</w:t>
            </w:r>
          </w:p>
        </w:tc>
        <w:tc>
          <w:tcPr>
            <w:tcW w:type="dxa" w:w="2160"/>
            <w:tcMar>
              <w:top w:w="90" w:type="dxa"/>
              <w:start w:w="120" w:type="dxa"/>
              <w:bottom w:w="90" w:type="dxa"/>
              <w:end w:w="120" w:type="dxa"/>
            </w:tcMar>
            <w:vAlign w:val="center"/>
          </w:tcPr>
          <w:p>
            <w:pPr>
              <w:spacing w:after="0" w:line="259" w:lineRule="auto"/>
            </w:pPr>
            <w:r>
              <w:rPr>
                <w:sz w:val="16"/>
              </w:rPr>
              <w:t>Safety case owner</w:t>
            </w:r>
          </w:p>
        </w:tc>
        <w:tc>
          <w:tcPr>
            <w:tcW w:type="dxa" w:w="2592"/>
            <w:tcMar>
              <w:top w:w="90" w:type="dxa"/>
              <w:start w:w="120" w:type="dxa"/>
              <w:bottom w:w="90" w:type="dxa"/>
              <w:end w:w="120" w:type="dxa"/>
            </w:tcMar>
            <w:vAlign w:val="center"/>
          </w:tcPr>
          <w:p>
            <w:pPr>
              <w:spacing w:after="0" w:line="259" w:lineRule="auto"/>
            </w:pPr>
            <w:r>
              <w:rPr>
                <w:sz w:val="16"/>
              </w:rPr>
              <w:t>Clinical owner, Patient Panel ved høj risiko</w:t>
            </w:r>
          </w:p>
        </w:tc>
      </w:tr>
      <w:tr>
        <w:tc>
          <w:tcPr>
            <w:tcW w:type="dxa" w:w="2088"/>
            <w:tcMar>
              <w:top w:w="90" w:type="dxa"/>
              <w:start w:w="120" w:type="dxa"/>
              <w:bottom w:w="90" w:type="dxa"/>
              <w:end w:w="120" w:type="dxa"/>
            </w:tcMar>
            <w:vAlign w:val="center"/>
          </w:tcPr>
          <w:p>
            <w:pPr>
              <w:shd w:fill="F7F9FA"/>
              <w:spacing w:after="0" w:line="259" w:lineRule="auto"/>
            </w:pPr>
            <w:r>
              <w:rPr>
                <w:sz w:val="16"/>
              </w:rPr>
              <w:t>Godkende release</w:t>
            </w:r>
          </w:p>
        </w:tc>
        <w:tc>
          <w:tcPr>
            <w:tcW w:type="dxa" w:w="2520"/>
            <w:tcMar>
              <w:top w:w="90" w:type="dxa"/>
              <w:start w:w="120" w:type="dxa"/>
              <w:bottom w:w="90" w:type="dxa"/>
              <w:end w:w="120" w:type="dxa"/>
            </w:tcMar>
            <w:vAlign w:val="center"/>
          </w:tcPr>
          <w:p>
            <w:pPr>
              <w:shd w:fill="F7F9FA"/>
              <w:spacing w:after="0" w:line="259" w:lineRule="auto"/>
            </w:pPr>
            <w:r>
              <w:rPr>
                <w:sz w:val="16"/>
              </w:rPr>
              <w:t>Product Council + Safety Board</w:t>
            </w:r>
          </w:p>
        </w:tc>
        <w:tc>
          <w:tcPr>
            <w:tcW w:type="dxa" w:w="2160"/>
            <w:tcMar>
              <w:top w:w="90" w:type="dxa"/>
              <w:start w:w="120" w:type="dxa"/>
              <w:bottom w:w="90" w:type="dxa"/>
              <w:end w:w="120" w:type="dxa"/>
            </w:tcMar>
            <w:vAlign w:val="center"/>
          </w:tcPr>
          <w:p>
            <w:pPr>
              <w:shd w:fill="F7F9FA"/>
              <w:spacing w:after="0" w:line="259" w:lineRule="auto"/>
            </w:pPr>
            <w:r>
              <w:rPr>
                <w:sz w:val="16"/>
              </w:rPr>
              <w:t>Release owner</w:t>
            </w:r>
          </w:p>
        </w:tc>
        <w:tc>
          <w:tcPr>
            <w:tcW w:type="dxa" w:w="2592"/>
            <w:tcMar>
              <w:top w:w="90" w:type="dxa"/>
              <w:start w:w="120" w:type="dxa"/>
              <w:bottom w:w="90" w:type="dxa"/>
              <w:end w:w="120" w:type="dxa"/>
            </w:tcMar>
            <w:vAlign w:val="center"/>
          </w:tcPr>
          <w:p>
            <w:pPr>
              <w:shd w:fill="F7F9FA"/>
              <w:spacing w:after="0" w:line="259" w:lineRule="auto"/>
            </w:pPr>
            <w:r>
              <w:rPr>
                <w:sz w:val="16"/>
              </w:rPr>
              <w:t>QA, Evidence, Operations</w:t>
            </w:r>
          </w:p>
        </w:tc>
      </w:tr>
      <w:tr>
        <w:tc>
          <w:tcPr>
            <w:tcW w:type="dxa" w:w="2088"/>
            <w:tcMar>
              <w:top w:w="90" w:type="dxa"/>
              <w:start w:w="120" w:type="dxa"/>
              <w:bottom w:w="90" w:type="dxa"/>
              <w:end w:w="120" w:type="dxa"/>
            </w:tcMar>
            <w:vAlign w:val="center"/>
          </w:tcPr>
          <w:p>
            <w:pPr>
              <w:spacing w:after="0" w:line="259" w:lineRule="auto"/>
            </w:pPr>
            <w:r>
              <w:rPr>
                <w:sz w:val="16"/>
              </w:rPr>
              <w:t>Stoppe release/drift</w:t>
            </w:r>
          </w:p>
        </w:tc>
        <w:tc>
          <w:tcPr>
            <w:tcW w:type="dxa" w:w="2520"/>
            <w:tcMar>
              <w:top w:w="90" w:type="dxa"/>
              <w:start w:w="120" w:type="dxa"/>
              <w:bottom w:w="90" w:type="dxa"/>
              <w:end w:w="120" w:type="dxa"/>
            </w:tcMar>
            <w:vAlign w:val="center"/>
          </w:tcPr>
          <w:p>
            <w:pPr>
              <w:spacing w:after="0" w:line="259" w:lineRule="auto"/>
            </w:pPr>
            <w:r>
              <w:rPr>
                <w:sz w:val="16"/>
              </w:rPr>
              <w:t>Safety Board; on-call ved akut risiko</w:t>
            </w:r>
          </w:p>
        </w:tc>
        <w:tc>
          <w:tcPr>
            <w:tcW w:type="dxa" w:w="2160"/>
            <w:tcMar>
              <w:top w:w="90" w:type="dxa"/>
              <w:start w:w="120" w:type="dxa"/>
              <w:bottom w:w="90" w:type="dxa"/>
              <w:end w:w="120" w:type="dxa"/>
            </w:tcMar>
            <w:vAlign w:val="center"/>
          </w:tcPr>
          <w:p>
            <w:pPr>
              <w:spacing w:after="0" w:line="259" w:lineRule="auto"/>
            </w:pPr>
            <w:r>
              <w:rPr>
                <w:sz w:val="16"/>
              </w:rPr>
              <w:t>Incident commander</w:t>
            </w:r>
          </w:p>
        </w:tc>
        <w:tc>
          <w:tcPr>
            <w:tcW w:type="dxa" w:w="2592"/>
            <w:tcMar>
              <w:top w:w="90" w:type="dxa"/>
              <w:start w:w="120" w:type="dxa"/>
              <w:bottom w:w="90" w:type="dxa"/>
              <w:end w:w="120" w:type="dxa"/>
            </w:tcMar>
            <w:vAlign w:val="center"/>
          </w:tcPr>
          <w:p>
            <w:pPr>
              <w:spacing w:after="0" w:line="259" w:lineRule="auto"/>
            </w:pPr>
            <w:r>
              <w:rPr>
                <w:sz w:val="16"/>
              </w:rPr>
              <w:t>Product, Architecture, Governance</w:t>
            </w:r>
          </w:p>
        </w:tc>
      </w:tr>
      <w:tr>
        <w:tc>
          <w:tcPr>
            <w:tcW w:type="dxa" w:w="2088"/>
            <w:tcMar>
              <w:top w:w="90" w:type="dxa"/>
              <w:start w:w="120" w:type="dxa"/>
              <w:bottom w:w="90" w:type="dxa"/>
              <w:end w:w="120" w:type="dxa"/>
            </w:tcMar>
            <w:vAlign w:val="center"/>
          </w:tcPr>
          <w:p>
            <w:pPr>
              <w:shd w:fill="F7F9FA"/>
              <w:spacing w:after="0" w:line="259" w:lineRule="auto"/>
            </w:pPr>
            <w:r>
              <w:rPr>
                <w:sz w:val="16"/>
              </w:rPr>
              <w:t>Retire artefakt</w:t>
            </w:r>
          </w:p>
        </w:tc>
        <w:tc>
          <w:tcPr>
            <w:tcW w:type="dxa" w:w="2520"/>
            <w:tcMar>
              <w:top w:w="90" w:type="dxa"/>
              <w:start w:w="120" w:type="dxa"/>
              <w:bottom w:w="90" w:type="dxa"/>
              <w:end w:w="120" w:type="dxa"/>
            </w:tcMar>
            <w:vAlign w:val="center"/>
          </w:tcPr>
          <w:p>
            <w:pPr>
              <w:shd w:fill="F7F9FA"/>
              <w:spacing w:after="0" w:line="259" w:lineRule="auto"/>
            </w:pPr>
            <w:r>
              <w:rPr>
                <w:sz w:val="16"/>
              </w:rPr>
              <w:t>Artefaktets godkender</w:t>
            </w:r>
          </w:p>
        </w:tc>
        <w:tc>
          <w:tcPr>
            <w:tcW w:type="dxa" w:w="2160"/>
            <w:tcMar>
              <w:top w:w="90" w:type="dxa"/>
              <w:start w:w="120" w:type="dxa"/>
              <w:bottom w:w="90" w:type="dxa"/>
              <w:end w:w="120" w:type="dxa"/>
            </w:tcMar>
            <w:vAlign w:val="center"/>
          </w:tcPr>
          <w:p>
            <w:pPr>
              <w:shd w:fill="F7F9FA"/>
              <w:spacing w:after="0" w:line="259" w:lineRule="auto"/>
            </w:pPr>
            <w:r>
              <w:rPr>
                <w:sz w:val="16"/>
              </w:rPr>
              <w:t>Artefaktejer</w:t>
            </w:r>
          </w:p>
        </w:tc>
        <w:tc>
          <w:tcPr>
            <w:tcW w:type="dxa" w:w="2592"/>
            <w:tcMar>
              <w:top w:w="90" w:type="dxa"/>
              <w:start w:w="120" w:type="dxa"/>
              <w:bottom w:w="90" w:type="dxa"/>
              <w:end w:w="120" w:type="dxa"/>
            </w:tcMar>
            <w:vAlign w:val="center"/>
          </w:tcPr>
          <w:p>
            <w:pPr>
              <w:shd w:fill="F7F9FA"/>
              <w:spacing w:after="0" w:line="259" w:lineRule="auto"/>
            </w:pPr>
            <w:r>
              <w:rPr>
                <w:sz w:val="16"/>
              </w:rPr>
              <w:t>Alle aktive downstream-ejere</w:t>
            </w:r>
          </w:p>
        </w:tc>
      </w:tr>
    </w:tbl>
    <w:p>
      <w:pPr>
        <w:spacing w:after="0"/>
      </w:pPr>
    </w:p>
    <w:p>
      <w:pPr>
        <w:spacing w:before="100" w:after="180"/>
        <w:ind w:left="173" w:right="173"/>
        <w:shd w:fill="FCE8E6"/>
      </w:pPr>
      <w:r>
        <w:rPr>
          <w:b/>
          <w:color w:val="9B2C2C"/>
        </w:rPr>
        <w:t xml:space="preserve">Uafhængighed: </w:t>
      </w:r>
      <w:r>
        <w:t>Den, der ejer leveringsmålet, må ikke alene acceptere residual klinisk risiko. Kommerciel eller roadmap-mæssig accountability kan ikke erstatte safety accountability.</w:t>
      </w:r>
    </w:p>
    <w:p>
      <w:r>
        <w:br w:type="page"/>
      </w:r>
    </w:p>
    <w:p>
      <w:pPr>
        <w:spacing w:after="60"/>
      </w:pPr>
      <w:r>
        <w:rPr>
          <w:b/>
          <w:color w:val="667085"/>
          <w:sz w:val="18"/>
        </w:rPr>
        <w:t>NÅR GODE PRINCIPPER PEGER HVER SIN VEJ</w:t>
      </w:r>
    </w:p>
    <w:p>
      <w:pPr>
        <w:pStyle w:val="Heading1"/>
      </w:pPr>
      <w:r>
        <w:t>12. Konfliktløsning</w:t>
      </w:r>
    </w:p>
    <w:p>
      <w:pPr>
        <w:pStyle w:val="ListNumber"/>
        <w:spacing w:after="80" w:line="300" w:lineRule="auto"/>
      </w:pPr>
      <w:r>
        <w:t>Klassificér konflikten: normativ, epistemisk, klinisk, designmæssig, teknisk eller organisatorisk.</w:t>
      </w:r>
    </w:p>
    <w:p>
      <w:pPr>
        <w:pStyle w:val="ListNumber"/>
        <w:spacing w:after="80" w:line="300" w:lineRule="auto"/>
      </w:pPr>
      <w:r>
        <w:t>Identificér højeste berørte artefakt og den beskyttelsesfunktion, hvert hensyn varetager.</w:t>
      </w:r>
    </w:p>
    <w:p>
      <w:pPr>
        <w:pStyle w:val="ListNumber"/>
        <w:spacing w:after="80" w:line="300" w:lineRule="auto"/>
      </w:pPr>
      <w:r>
        <w:t>Vurder alvor, sandsynlighed, reversibilitet, fordelingsvirkning og hvem der bærer residualrisiko.</w:t>
      </w:r>
    </w:p>
    <w:p>
      <w:pPr>
        <w:pStyle w:val="ListNumber"/>
        <w:spacing w:after="80" w:line="300" w:lineRule="auto"/>
      </w:pPr>
      <w:r>
        <w:t>Anvend Constitutionens presumptionshierarki: alvorlig/uoprettelig skade; værdighed og legitim autonomi; epistemisk integritet og ansvar; kompetence, opmærksomhed og retfærdighed; derefter effektivitet og bekvemmelighed.</w:t>
      </w:r>
    </w:p>
    <w:p>
      <w:pPr>
        <w:pStyle w:val="ListNumber"/>
        <w:spacing w:after="80" w:line="300" w:lineRule="auto"/>
      </w:pPr>
      <w:r>
        <w:t>Søg den mindst indgribende løsning, der opfylder det højere hensyn.</w:t>
      </w:r>
    </w:p>
    <w:p>
      <w:pPr>
        <w:pStyle w:val="ListNumber"/>
        <w:spacing w:after="80" w:line="300" w:lineRule="auto"/>
      </w:pPr>
      <w:r>
        <w:t>Dokumentér dissens, beslutning, scope, målinger, udløb og review-trigger i korrekt artefakt.</w:t>
      </w:r>
    </w:p>
    <w:p>
      <w:pPr>
        <w:pStyle w:val="ListNumber"/>
        <w:spacing w:after="80" w:line="300" w:lineRule="auto"/>
      </w:pPr>
      <w:r>
        <w:t>Eskalér uløste konflikter til det organ, der ejer det højeste normniveau. Release afventer afgørelse ved plausibel alvorlig skade.</w:t>
      </w:r>
    </w:p>
    <w:p>
      <w:pPr>
        <w:pStyle w:val="Heading2"/>
      </w:pPr>
      <w:r>
        <w:t>Precedens</w:t>
      </w:r>
    </w:p>
    <w:p>
      <w:r>
        <w:rPr>
          <w:rFonts w:ascii="Calibri" w:hAnsi="Calibri"/>
          <w:i w:val="0"/>
          <w:sz w:val="22"/>
        </w:rPr>
        <w:t>Konfliktafgørelser SKAL registreres som precedensnoter knyttet til berørte Position Papers og Design Principles. Precedens skaber fortolkningskonsistens, men kan ikke ændre ordlyden eller rangordenen i højere dokumenter.</w:t>
      </w:r>
    </w:p>
    <w:p>
      <w:r>
        <w:br w:type="page"/>
      </w:r>
    </w:p>
    <w:p>
      <w:pPr>
        <w:spacing w:after="60"/>
      </w:pPr>
      <w:r>
        <w:rPr>
          <w:b/>
          <w:color w:val="667085"/>
          <w:sz w:val="18"/>
        </w:rPr>
        <w:t>CLINICAL SAFETY CASE</w:t>
      </w:r>
    </w:p>
    <w:p>
      <w:pPr>
        <w:pStyle w:val="Heading1"/>
      </w:pPr>
      <w:r>
        <w:t>13. Safety, etik og klinisk ansvar</w:t>
      </w:r>
    </w:p>
    <w:p>
      <w:pPr>
        <w:pStyle w:val="Heading2"/>
      </w:pPr>
      <w:r>
        <w:t>Hvornår kræves en Safety Case?</w:t>
      </w:r>
    </w:p>
    <w:p>
      <w:pPr>
        <w:pStyle w:val="ListBullet"/>
        <w:spacing w:after="80" w:line="300" w:lineRule="auto"/>
      </w:pPr>
      <w:r>
        <w:t>Systemet kan påvirke diagnose, behandling, henvisning, medicin, opfølgning eller safety-netting.</w:t>
      </w:r>
    </w:p>
    <w:p>
      <w:pPr>
        <w:pStyle w:val="ListBullet"/>
        <w:spacing w:after="80" w:line="300" w:lineRule="auto"/>
      </w:pPr>
      <w:r>
        <w:t>Fejl kan medføre alvorlig skade, forsinkelse eller systematisk ulighed.</w:t>
      </w:r>
    </w:p>
    <w:p>
      <w:pPr>
        <w:pStyle w:val="ListBullet"/>
        <w:spacing w:after="80" w:line="300" w:lineRule="auto"/>
      </w:pPr>
      <w:r>
        <w:t>Systemet automatiserer, prioriterer, filtrerer eller undertrykker klinisk information.</w:t>
      </w:r>
    </w:p>
    <w:p>
      <w:pPr>
        <w:pStyle w:val="ListBullet"/>
        <w:spacing w:after="80" w:line="300" w:lineRule="auto"/>
      </w:pPr>
      <w:r>
        <w:t>En model, evidenskilde eller organisationsproces ændres på en måde, der kan påvirke adfærd.</w:t>
      </w:r>
    </w:p>
    <w:p>
      <w:pPr>
        <w:pStyle w:val="Heading2"/>
      </w:pPr>
      <w:r>
        <w:t>Minimumsindhold</w:t>
      </w:r>
    </w:p>
    <w:tbl>
      <w:tblPr>
        <w:tblW w:type="dxa" w:w="9360"/>
        <w:jc w:val="left"/>
        <w:tblLayout w:type="fixed"/>
        <w:tblLook w:firstColumn="1" w:firstRow="1" w:lastColumn="0" w:lastRow="0" w:noHBand="0" w:noVBand="1" w:val="04A0"/>
        <w:tblInd w:w="120" w:type="dxa"/>
      </w:tblPr>
      <w:tblGrid>
        <w:gridCol w:w="1872"/>
        <w:gridCol w:w="7488"/>
      </w:tblGrid>
      <w:tr>
        <w:trPr>
          <w:tblHeader/>
        </w:trPr>
        <w:tc>
          <w:tcPr>
            <w:tcW w:type="dxa" w:w="1872"/>
            <w:tcMar>
              <w:top w:w="90" w:type="dxa"/>
              <w:start w:w="120" w:type="dxa"/>
              <w:bottom w:w="90" w:type="dxa"/>
              <w:end w:w="120" w:type="dxa"/>
            </w:tcMar>
            <w:vAlign w:val="center"/>
          </w:tcPr>
          <w:p>
            <w:pPr>
              <w:shd w:fill="DCE6EB"/>
            </w:pPr>
            <w:r>
              <w:rPr>
                <w:b/>
                <w:color w:val="15324A"/>
                <w:sz w:val="17"/>
              </w:rPr>
              <w:t>Del</w:t>
            </w:r>
          </w:p>
        </w:tc>
        <w:tc>
          <w:tcPr>
            <w:tcW w:type="dxa" w:w="7488"/>
            <w:tcMar>
              <w:top w:w="90" w:type="dxa"/>
              <w:start w:w="120" w:type="dxa"/>
              <w:bottom w:w="90" w:type="dxa"/>
              <w:end w:w="120" w:type="dxa"/>
            </w:tcMar>
            <w:vAlign w:val="center"/>
          </w:tcPr>
          <w:p>
            <w:pPr>
              <w:shd w:fill="DCE6EB"/>
            </w:pPr>
            <w:r>
              <w:rPr>
                <w:b/>
                <w:color w:val="15324A"/>
                <w:sz w:val="17"/>
              </w:rPr>
              <w:t>SKAL indeholde</w:t>
            </w:r>
          </w:p>
        </w:tc>
      </w:tr>
      <w:tr>
        <w:tc>
          <w:tcPr>
            <w:tcW w:type="dxa" w:w="1872"/>
            <w:tcMar>
              <w:top w:w="90" w:type="dxa"/>
              <w:start w:w="120" w:type="dxa"/>
              <w:bottom w:w="90" w:type="dxa"/>
              <w:end w:w="120" w:type="dxa"/>
            </w:tcMar>
            <w:vAlign w:val="center"/>
          </w:tcPr>
          <w:p>
            <w:pPr>
              <w:spacing w:after="0" w:line="259" w:lineRule="auto"/>
            </w:pPr>
            <w:r>
              <w:rPr>
                <w:sz w:val="17"/>
              </w:rPr>
              <w:t>Claim</w:t>
            </w:r>
          </w:p>
        </w:tc>
        <w:tc>
          <w:tcPr>
            <w:tcW w:type="dxa" w:w="7488"/>
            <w:tcMar>
              <w:top w:w="90" w:type="dxa"/>
              <w:start w:w="120" w:type="dxa"/>
              <w:bottom w:w="90" w:type="dxa"/>
              <w:end w:w="120" w:type="dxa"/>
            </w:tcMar>
            <w:vAlign w:val="center"/>
          </w:tcPr>
          <w:p>
            <w:pPr>
              <w:spacing w:after="0" w:line="259" w:lineRule="auto"/>
            </w:pPr>
            <w:r>
              <w:rPr>
                <w:sz w:val="17"/>
              </w:rPr>
              <w:t>Præcis sikkerhedspåstand med scope og population.</w:t>
            </w:r>
          </w:p>
        </w:tc>
      </w:tr>
      <w:tr>
        <w:tc>
          <w:tcPr>
            <w:tcW w:type="dxa" w:w="1872"/>
            <w:tcMar>
              <w:top w:w="90" w:type="dxa"/>
              <w:start w:w="120" w:type="dxa"/>
              <w:bottom w:w="90" w:type="dxa"/>
              <w:end w:w="120" w:type="dxa"/>
            </w:tcMar>
            <w:vAlign w:val="center"/>
          </w:tcPr>
          <w:p>
            <w:pPr>
              <w:shd w:fill="F7F9FA"/>
              <w:spacing w:after="0" w:line="259" w:lineRule="auto"/>
            </w:pPr>
            <w:r>
              <w:rPr>
                <w:sz w:val="17"/>
              </w:rPr>
              <w:t>Argument</w:t>
            </w:r>
          </w:p>
        </w:tc>
        <w:tc>
          <w:tcPr>
            <w:tcW w:type="dxa" w:w="7488"/>
            <w:tcMar>
              <w:top w:w="90" w:type="dxa"/>
              <w:start w:w="120" w:type="dxa"/>
              <w:bottom w:w="90" w:type="dxa"/>
              <w:end w:w="120" w:type="dxa"/>
            </w:tcMar>
            <w:vAlign w:val="center"/>
          </w:tcPr>
          <w:p>
            <w:pPr>
              <w:shd w:fill="F7F9FA"/>
              <w:spacing w:after="0" w:line="259" w:lineRule="auto"/>
            </w:pPr>
            <w:r>
              <w:rPr>
                <w:sz w:val="17"/>
              </w:rPr>
              <w:t>Hvorfor kontrollerne samlet gør residualrisiko acceptabel.</w:t>
            </w:r>
          </w:p>
        </w:tc>
      </w:tr>
      <w:tr>
        <w:tc>
          <w:tcPr>
            <w:tcW w:type="dxa" w:w="1872"/>
            <w:tcMar>
              <w:top w:w="90" w:type="dxa"/>
              <w:start w:w="120" w:type="dxa"/>
              <w:bottom w:w="90" w:type="dxa"/>
              <w:end w:w="120" w:type="dxa"/>
            </w:tcMar>
            <w:vAlign w:val="center"/>
          </w:tcPr>
          <w:p>
            <w:pPr>
              <w:spacing w:after="0" w:line="259" w:lineRule="auto"/>
            </w:pPr>
            <w:r>
              <w:rPr>
                <w:sz w:val="17"/>
              </w:rPr>
              <w:t>Evidence</w:t>
            </w:r>
          </w:p>
        </w:tc>
        <w:tc>
          <w:tcPr>
            <w:tcW w:type="dxa" w:w="7488"/>
            <w:tcMar>
              <w:top w:w="90" w:type="dxa"/>
              <w:start w:w="120" w:type="dxa"/>
              <w:bottom w:w="90" w:type="dxa"/>
              <w:end w:w="120" w:type="dxa"/>
            </w:tcMar>
            <w:vAlign w:val="center"/>
          </w:tcPr>
          <w:p>
            <w:pPr>
              <w:spacing w:after="0" w:line="259" w:lineRule="auto"/>
            </w:pPr>
            <w:r>
              <w:rPr>
                <w:sz w:val="17"/>
              </w:rPr>
              <w:t>Test, simulering, klinisk evaluering, provenance og begrænsninger.</w:t>
            </w:r>
          </w:p>
        </w:tc>
      </w:tr>
      <w:tr>
        <w:tc>
          <w:tcPr>
            <w:tcW w:type="dxa" w:w="1872"/>
            <w:tcMar>
              <w:top w:w="90" w:type="dxa"/>
              <w:start w:w="120" w:type="dxa"/>
              <w:bottom w:w="90" w:type="dxa"/>
              <w:end w:w="120" w:type="dxa"/>
            </w:tcMar>
            <w:vAlign w:val="center"/>
          </w:tcPr>
          <w:p>
            <w:pPr>
              <w:shd w:fill="F7F9FA"/>
              <w:spacing w:after="0" w:line="259" w:lineRule="auto"/>
            </w:pPr>
            <w:r>
              <w:rPr>
                <w:sz w:val="17"/>
              </w:rPr>
              <w:t>Hazards</w:t>
            </w:r>
          </w:p>
        </w:tc>
        <w:tc>
          <w:tcPr>
            <w:tcW w:type="dxa" w:w="7488"/>
            <w:tcMar>
              <w:top w:w="90" w:type="dxa"/>
              <w:start w:w="120" w:type="dxa"/>
              <w:bottom w:w="90" w:type="dxa"/>
              <w:end w:w="120" w:type="dxa"/>
            </w:tcMar>
            <w:vAlign w:val="center"/>
          </w:tcPr>
          <w:p>
            <w:pPr>
              <w:shd w:fill="F7F9FA"/>
              <w:spacing w:after="0" w:line="259" w:lineRule="auto"/>
            </w:pPr>
            <w:r>
              <w:rPr>
                <w:sz w:val="17"/>
              </w:rPr>
              <w:t>Falsk positiv/negativ, datafejl, automation bias, drift, misuse og organisatoriske fejl.</w:t>
            </w:r>
          </w:p>
        </w:tc>
      </w:tr>
      <w:tr>
        <w:tc>
          <w:tcPr>
            <w:tcW w:type="dxa" w:w="1872"/>
            <w:tcMar>
              <w:top w:w="90" w:type="dxa"/>
              <w:start w:w="120" w:type="dxa"/>
              <w:bottom w:w="90" w:type="dxa"/>
              <w:end w:w="120" w:type="dxa"/>
            </w:tcMar>
            <w:vAlign w:val="center"/>
          </w:tcPr>
          <w:p>
            <w:pPr>
              <w:spacing w:after="0" w:line="259" w:lineRule="auto"/>
            </w:pPr>
            <w:r>
              <w:rPr>
                <w:sz w:val="17"/>
              </w:rPr>
              <w:t>Controls</w:t>
            </w:r>
          </w:p>
        </w:tc>
        <w:tc>
          <w:tcPr>
            <w:tcW w:type="dxa" w:w="7488"/>
            <w:tcMar>
              <w:top w:w="90" w:type="dxa"/>
              <w:start w:w="120" w:type="dxa"/>
              <w:bottom w:w="90" w:type="dxa"/>
              <w:end w:w="120" w:type="dxa"/>
            </w:tcMar>
            <w:vAlign w:val="center"/>
          </w:tcPr>
          <w:p>
            <w:pPr>
              <w:spacing w:after="0" w:line="259" w:lineRule="auto"/>
            </w:pPr>
            <w:r>
              <w:rPr>
                <w:sz w:val="17"/>
              </w:rPr>
              <w:t>Forebyggelse, detektion, human control, fallback, rollback og monitorering.</w:t>
            </w:r>
          </w:p>
        </w:tc>
      </w:tr>
      <w:tr>
        <w:tc>
          <w:tcPr>
            <w:tcW w:type="dxa" w:w="1872"/>
            <w:tcMar>
              <w:top w:w="90" w:type="dxa"/>
              <w:start w:w="120" w:type="dxa"/>
              <w:bottom w:w="90" w:type="dxa"/>
              <w:end w:w="120" w:type="dxa"/>
            </w:tcMar>
            <w:vAlign w:val="center"/>
          </w:tcPr>
          <w:p>
            <w:pPr>
              <w:shd w:fill="F7F9FA"/>
              <w:spacing w:after="0" w:line="259" w:lineRule="auto"/>
            </w:pPr>
            <w:r>
              <w:rPr>
                <w:sz w:val="17"/>
              </w:rPr>
              <w:t>Residual risk</w:t>
            </w:r>
          </w:p>
        </w:tc>
        <w:tc>
          <w:tcPr>
            <w:tcW w:type="dxa" w:w="7488"/>
            <w:tcMar>
              <w:top w:w="90" w:type="dxa"/>
              <w:start w:w="120" w:type="dxa"/>
              <w:bottom w:w="90" w:type="dxa"/>
              <w:end w:w="120" w:type="dxa"/>
            </w:tcMar>
            <w:vAlign w:val="center"/>
          </w:tcPr>
          <w:p>
            <w:pPr>
              <w:shd w:fill="F7F9FA"/>
              <w:spacing w:after="0" w:line="259" w:lineRule="auto"/>
            </w:pPr>
            <w:r>
              <w:rPr>
                <w:sz w:val="17"/>
              </w:rPr>
              <w:t>Hvem accepterer den, hvem bærer den, og hvornår revurderes den.</w:t>
            </w:r>
          </w:p>
        </w:tc>
      </w:tr>
    </w:tbl>
    <w:p>
      <w:pPr>
        <w:spacing w:after="0"/>
      </w:pPr>
    </w:p>
    <w:p>
      <w:r>
        <w:br w:type="page"/>
      </w:r>
    </w:p>
    <w:p>
      <w:pPr>
        <w:spacing w:after="60"/>
      </w:pPr>
      <w:r>
        <w:rPr>
          <w:b/>
          <w:color w:val="667085"/>
          <w:sz w:val="18"/>
        </w:rPr>
        <w:t>HVORDAN CORTEX MÅ VIDE</w:t>
      </w:r>
    </w:p>
    <w:p>
      <w:pPr>
        <w:pStyle w:val="Heading1"/>
      </w:pPr>
      <w:r>
        <w:t>14. Epistemisk governance</w:t>
      </w:r>
    </w:p>
    <w:p>
      <w:pPr>
        <w:pStyle w:val="ListBullet"/>
        <w:spacing w:after="80" w:line="300" w:lineRule="auto"/>
      </w:pPr>
      <w:r>
        <w:t>Enhver klinisk påstand SKAL have provenance, scope, styrke, aktualitet og review/udløb.</w:t>
      </w:r>
    </w:p>
    <w:p>
      <w:pPr>
        <w:pStyle w:val="ListBullet"/>
        <w:spacing w:after="80" w:line="300" w:lineRule="auto"/>
      </w:pPr>
      <w:r>
        <w:t>Fakta, inferens, anbefaling og normativ prioritering SKAL kunne skelnes.</w:t>
      </w:r>
    </w:p>
    <w:p>
      <w:pPr>
        <w:pStyle w:val="ListBullet"/>
        <w:spacing w:after="80" w:line="300" w:lineRule="auto"/>
      </w:pPr>
      <w:r>
        <w:t>Modstridende retningslinjer MÅ IKKE sammenfattes til falsk konsensus; konflikt og valgregel dokumenteres.</w:t>
      </w:r>
    </w:p>
    <w:p>
      <w:pPr>
        <w:pStyle w:val="ListBullet"/>
        <w:spacing w:after="80" w:line="300" w:lineRule="auto"/>
      </w:pPr>
      <w:r>
        <w:t>Manglende eller tvivlsomme data SKAL repræsenteres som sådan og må ikke tavst imputeres i højrisikobeslutninger.</w:t>
      </w:r>
    </w:p>
    <w:p>
      <w:pPr>
        <w:pStyle w:val="ListBullet"/>
        <w:spacing w:after="80" w:line="300" w:lineRule="auto"/>
      </w:pPr>
      <w:r>
        <w:t>Generative modeller MÅ IKKE være autoritativ kilde til klinisk sandhed; de kan formidle eller syntetisere under sporbare kontroller.</w:t>
      </w:r>
    </w:p>
    <w:p>
      <w:pPr>
        <w:pStyle w:val="ListBullet"/>
        <w:spacing w:after="80" w:line="300" w:lineRule="auto"/>
      </w:pPr>
      <w:r>
        <w:t>Evidence bundles SKAL kunne reproduceres for den version, der påvirkede en konkret beslutning.</w:t>
      </w:r>
    </w:p>
    <w:p>
      <w:pPr>
        <w:pStyle w:val="Heading2"/>
      </w:pPr>
      <w:r>
        <w:t>Epistemisk review-trigger</w:t>
      </w:r>
    </w:p>
    <w:p>
      <w:r>
        <w:rPr>
          <w:rFonts w:ascii="Calibri" w:hAnsi="Calibri"/>
          <w:i w:val="0"/>
          <w:sz w:val="22"/>
        </w:rPr>
        <w:t>Ny modstridende evidens, ændret guideline, population shift, modeldrift, kildeudløb eller hændelse, der udfordrer en central antagelse, sætter berørte artefakter i REVIEW eller CONTESTED efter risiko.</w:t>
      </w:r>
    </w:p>
    <w:p>
      <w:pPr>
        <w:spacing w:before="100" w:after="180"/>
        <w:ind w:left="173" w:right="173"/>
        <w:shd w:fill="EEF3F6"/>
      </w:pPr>
      <w:r>
        <w:rPr>
          <w:b/>
          <w:color w:val="15324A"/>
        </w:rPr>
        <w:t xml:space="preserve">Ukendt er en gyldig tilstand: </w:t>
      </w:r>
      <w:r>
        <w:t>Governance må aldrig belønne systemet for at producere et svar, når den ansvarlige handling er at vise usikkerhed, indhente information eller eskalere.</w:t>
      </w:r>
    </w:p>
    <w:p>
      <w:r>
        <w:br w:type="page"/>
      </w:r>
    </w:p>
    <w:p>
      <w:pPr>
        <w:spacing w:after="60"/>
      </w:pPr>
      <w:r>
        <w:rPr>
          <w:b/>
          <w:color w:val="667085"/>
          <w:sz w:val="18"/>
        </w:rPr>
        <w:t>FRA NORM TIL STRUKTUR</w:t>
      </w:r>
    </w:p>
    <w:p>
      <w:pPr>
        <w:pStyle w:val="Heading1"/>
      </w:pPr>
      <w:r>
        <w:t>15. Design- og arkitekturstyring</w:t>
      </w:r>
    </w:p>
    <w:p>
      <w:pPr>
        <w:pStyle w:val="Heading2"/>
      </w:pPr>
      <w:r>
        <w:t>Design Principle template</w:t>
      </w:r>
    </w:p>
    <w:p>
      <w:pPr>
        <w:pStyle w:val="ListBullet"/>
        <w:spacing w:after="80" w:line="300" w:lineRule="auto"/>
      </w:pPr>
      <w:r>
        <w:t>Navn og normativ formulering.</w:t>
      </w:r>
    </w:p>
    <w:p>
      <w:pPr>
        <w:pStyle w:val="ListBullet"/>
        <w:spacing w:after="80" w:line="300" w:lineRule="auto"/>
      </w:pPr>
      <w:r>
        <w:t>Beskyttelsesfunktion og failure modes.</w:t>
      </w:r>
    </w:p>
    <w:p>
      <w:pPr>
        <w:pStyle w:val="ListBullet"/>
        <w:spacing w:after="80" w:line="300" w:lineRule="auto"/>
      </w:pPr>
      <w:r>
        <w:t>Scope, ikke-scope og berørte aktører.</w:t>
      </w:r>
    </w:p>
    <w:p>
      <w:pPr>
        <w:pStyle w:val="ListBullet"/>
        <w:spacing w:after="80" w:line="300" w:lineRule="auto"/>
      </w:pPr>
      <w:r>
        <w:t>Do / Don’t / exception examples.</w:t>
      </w:r>
    </w:p>
    <w:p>
      <w:pPr>
        <w:pStyle w:val="ListBullet"/>
        <w:spacing w:after="80" w:line="300" w:lineRule="auto"/>
      </w:pPr>
      <w:r>
        <w:t>Konflikter og prioriteringsregel.</w:t>
      </w:r>
    </w:p>
    <w:p>
      <w:pPr>
        <w:pStyle w:val="ListBullet"/>
        <w:spacing w:after="80" w:line="300" w:lineRule="auto"/>
      </w:pPr>
      <w:r>
        <w:t>Observerbare indikatorer og evidens.</w:t>
      </w:r>
    </w:p>
    <w:p>
      <w:pPr>
        <w:pStyle w:val="ListBullet"/>
        <w:spacing w:after="80" w:line="300" w:lineRule="auto"/>
      </w:pPr>
      <w:r>
        <w:t>Links op til CON/PP og ned til ADR/PRD.</w:t>
      </w:r>
    </w:p>
    <w:p>
      <w:pPr>
        <w:pStyle w:val="Heading2"/>
      </w:pPr>
      <w:r>
        <w:t>ADR template</w:t>
      </w:r>
    </w:p>
    <w:p>
      <w:pPr>
        <w:pStyle w:val="ListBullet"/>
        <w:spacing w:after="80" w:line="300" w:lineRule="auto"/>
      </w:pPr>
      <w:r>
        <w:t>Context og problem.</w:t>
      </w:r>
    </w:p>
    <w:p>
      <w:pPr>
        <w:pStyle w:val="ListBullet"/>
        <w:spacing w:after="80" w:line="300" w:lineRule="auto"/>
      </w:pPr>
      <w:r>
        <w:t>Decision og status.</w:t>
      </w:r>
    </w:p>
    <w:p>
      <w:pPr>
        <w:pStyle w:val="ListBullet"/>
        <w:spacing w:after="80" w:line="300" w:lineRule="auto"/>
      </w:pPr>
      <w:r>
        <w:t>Alternativer, herunder mindst én enklere eller ikke-AI-løsning.</w:t>
      </w:r>
    </w:p>
    <w:p>
      <w:pPr>
        <w:pStyle w:val="ListBullet"/>
        <w:spacing w:after="80" w:line="300" w:lineRule="auto"/>
      </w:pPr>
      <w:r>
        <w:t>Normative og kliniske drivers.</w:t>
      </w:r>
    </w:p>
    <w:p>
      <w:pPr>
        <w:pStyle w:val="ListBullet"/>
        <w:spacing w:after="80" w:line="300" w:lineRule="auto"/>
      </w:pPr>
      <w:r>
        <w:t>Konsekvenser, risici og reversibilitet.</w:t>
      </w:r>
    </w:p>
    <w:p>
      <w:pPr>
        <w:pStyle w:val="ListBullet"/>
        <w:spacing w:after="80" w:line="300" w:lineRule="auto"/>
      </w:pPr>
      <w:r>
        <w:t>Safety/data/privacy/evidence impact.</w:t>
      </w:r>
    </w:p>
    <w:p>
      <w:pPr>
        <w:pStyle w:val="ListBullet"/>
        <w:spacing w:after="80" w:line="300" w:lineRule="auto"/>
      </w:pPr>
      <w:r>
        <w:t>Review triggers, migration og rollback.</w:t>
      </w:r>
    </w:p>
    <w:p>
      <w:pPr>
        <w:spacing w:before="100" w:after="180"/>
        <w:ind w:left="173" w:right="173"/>
        <w:shd w:fill="EEF3F6"/>
      </w:pPr>
      <w:r>
        <w:rPr>
          <w:b/>
          <w:color w:val="15324A"/>
        </w:rPr>
        <w:t xml:space="preserve">Arkitekturinvariant: </w:t>
      </w:r>
      <w:r>
        <w:t>En ADR må ikke blot dokumentere, hvad der er valgt. Den skal gøre det muligt for en senere arkitekt at forstå, hvilke normer og risici der gjorde valget legitimt - og hvornår valget ikke længere er det.</w:t>
      </w:r>
    </w:p>
    <w:p>
      <w:r>
        <w:br w:type="page"/>
      </w:r>
    </w:p>
    <w:p>
      <w:pPr>
        <w:spacing w:after="60"/>
      </w:pPr>
      <w:r>
        <w:rPr>
          <w:b/>
          <w:color w:val="667085"/>
          <w:sz w:val="18"/>
        </w:rPr>
        <w:t>FRA KRAV TIL DRIFT</w:t>
      </w:r>
    </w:p>
    <w:p>
      <w:pPr>
        <w:pStyle w:val="Heading1"/>
      </w:pPr>
      <w:r>
        <w:t>16. Produkt-, evaluerings- og releasegovernance</w:t>
      </w:r>
    </w:p>
    <w:tbl>
      <w:tblPr>
        <w:tblW w:type="dxa" w:w="9360"/>
        <w:jc w:val="left"/>
        <w:tblLayout w:type="fixed"/>
        <w:tblLook w:firstColumn="1" w:firstRow="1" w:lastColumn="0" w:lastRow="0" w:noHBand="0" w:noVBand="1" w:val="04A0"/>
        <w:tblInd w:w="120" w:type="dxa"/>
      </w:tblPr>
      <w:tblGrid>
        <w:gridCol w:w="1656"/>
        <w:gridCol w:w="3600"/>
        <w:gridCol w:w="4104"/>
      </w:tblGrid>
      <w:tr>
        <w:trPr>
          <w:tblHeader/>
        </w:trPr>
        <w:tc>
          <w:tcPr>
            <w:tcW w:type="dxa" w:w="1656"/>
            <w:tcMar>
              <w:top w:w="90" w:type="dxa"/>
              <w:start w:w="120" w:type="dxa"/>
              <w:bottom w:w="90" w:type="dxa"/>
              <w:end w:w="120" w:type="dxa"/>
            </w:tcMar>
            <w:vAlign w:val="center"/>
          </w:tcPr>
          <w:p>
            <w:pPr>
              <w:shd w:fill="DCE6EB"/>
            </w:pPr>
            <w:r>
              <w:rPr>
                <w:b/>
                <w:color w:val="15324A"/>
                <w:sz w:val="16"/>
              </w:rPr>
              <w:t>Gate</w:t>
            </w:r>
          </w:p>
        </w:tc>
        <w:tc>
          <w:tcPr>
            <w:tcW w:type="dxa" w:w="3600"/>
            <w:tcMar>
              <w:top w:w="90" w:type="dxa"/>
              <w:start w:w="120" w:type="dxa"/>
              <w:bottom w:w="90" w:type="dxa"/>
              <w:end w:w="120" w:type="dxa"/>
            </w:tcMar>
            <w:vAlign w:val="center"/>
          </w:tcPr>
          <w:p>
            <w:pPr>
              <w:shd w:fill="DCE6EB"/>
            </w:pPr>
            <w:r>
              <w:rPr>
                <w:b/>
                <w:color w:val="15324A"/>
                <w:sz w:val="16"/>
              </w:rPr>
              <w:t>Obligatoriske artefakter</w:t>
            </w:r>
          </w:p>
        </w:tc>
        <w:tc>
          <w:tcPr>
            <w:tcW w:type="dxa" w:w="4104"/>
            <w:tcMar>
              <w:top w:w="90" w:type="dxa"/>
              <w:start w:w="120" w:type="dxa"/>
              <w:bottom w:w="90" w:type="dxa"/>
              <w:end w:w="120" w:type="dxa"/>
            </w:tcMar>
            <w:vAlign w:val="center"/>
          </w:tcPr>
          <w:p>
            <w:pPr>
              <w:shd w:fill="DCE6EB"/>
            </w:pPr>
            <w:r>
              <w:rPr>
                <w:b/>
                <w:color w:val="15324A"/>
                <w:sz w:val="16"/>
              </w:rPr>
              <w:t>Spørgsmål</w:t>
            </w:r>
          </w:p>
        </w:tc>
      </w:tr>
      <w:tr>
        <w:tc>
          <w:tcPr>
            <w:tcW w:type="dxa" w:w="1656"/>
            <w:tcMar>
              <w:top w:w="90" w:type="dxa"/>
              <w:start w:w="120" w:type="dxa"/>
              <w:bottom w:w="90" w:type="dxa"/>
              <w:end w:w="120" w:type="dxa"/>
            </w:tcMar>
            <w:vAlign w:val="center"/>
          </w:tcPr>
          <w:p>
            <w:pPr>
              <w:spacing w:after="0" w:line="259" w:lineRule="auto"/>
            </w:pPr>
            <w:r>
              <w:rPr>
                <w:sz w:val="16"/>
              </w:rPr>
              <w:t>Discovery</w:t>
            </w:r>
          </w:p>
        </w:tc>
        <w:tc>
          <w:tcPr>
            <w:tcW w:type="dxa" w:w="3600"/>
            <w:tcMar>
              <w:top w:w="90" w:type="dxa"/>
              <w:start w:w="120" w:type="dxa"/>
              <w:bottom w:w="90" w:type="dxa"/>
              <w:end w:w="120" w:type="dxa"/>
            </w:tcMar>
            <w:vAlign w:val="center"/>
          </w:tcPr>
          <w:p>
            <w:pPr>
              <w:spacing w:after="0" w:line="259" w:lineRule="auto"/>
            </w:pPr>
            <w:r>
              <w:rPr>
                <w:sz w:val="16"/>
              </w:rPr>
              <w:t>Research Note, relevante PP/RA</w:t>
            </w:r>
          </w:p>
        </w:tc>
        <w:tc>
          <w:tcPr>
            <w:tcW w:type="dxa" w:w="4104"/>
            <w:tcMar>
              <w:top w:w="90" w:type="dxa"/>
              <w:start w:w="120" w:type="dxa"/>
              <w:bottom w:w="90" w:type="dxa"/>
              <w:end w:w="120" w:type="dxa"/>
            </w:tcMar>
            <w:vAlign w:val="center"/>
          </w:tcPr>
          <w:p>
            <w:pPr>
              <w:spacing w:after="0" w:line="259" w:lineRule="auto"/>
            </w:pPr>
            <w:r>
              <w:rPr>
                <w:sz w:val="16"/>
              </w:rPr>
              <w:t>Er problemet reelt, klinisk vigtigt og egnet til intervention?</w:t>
            </w:r>
          </w:p>
        </w:tc>
      </w:tr>
      <w:tr>
        <w:tc>
          <w:tcPr>
            <w:tcW w:type="dxa" w:w="1656"/>
            <w:tcMar>
              <w:top w:w="90" w:type="dxa"/>
              <w:start w:w="120" w:type="dxa"/>
              <w:bottom w:w="90" w:type="dxa"/>
              <w:end w:w="120" w:type="dxa"/>
            </w:tcMar>
            <w:vAlign w:val="center"/>
          </w:tcPr>
          <w:p>
            <w:pPr>
              <w:shd w:fill="F7F9FA"/>
              <w:spacing w:after="0" w:line="259" w:lineRule="auto"/>
            </w:pPr>
            <w:r>
              <w:rPr>
                <w:sz w:val="16"/>
              </w:rPr>
              <w:t>Design</w:t>
            </w:r>
          </w:p>
        </w:tc>
        <w:tc>
          <w:tcPr>
            <w:tcW w:type="dxa" w:w="3600"/>
            <w:tcMar>
              <w:top w:w="90" w:type="dxa"/>
              <w:start w:w="120" w:type="dxa"/>
              <w:bottom w:w="90" w:type="dxa"/>
              <w:end w:w="120" w:type="dxa"/>
            </w:tcMar>
            <w:vAlign w:val="center"/>
          </w:tcPr>
          <w:p>
            <w:pPr>
              <w:shd w:fill="F7F9FA"/>
              <w:spacing w:after="0" w:line="259" w:lineRule="auto"/>
            </w:pPr>
            <w:r>
              <w:rPr>
                <w:sz w:val="16"/>
              </w:rPr>
              <w:t>DP links, early hazard analysis</w:t>
            </w:r>
          </w:p>
        </w:tc>
        <w:tc>
          <w:tcPr>
            <w:tcW w:type="dxa" w:w="4104"/>
            <w:tcMar>
              <w:top w:w="90" w:type="dxa"/>
              <w:start w:w="120" w:type="dxa"/>
              <w:bottom w:w="90" w:type="dxa"/>
              <w:end w:w="120" w:type="dxa"/>
            </w:tcMar>
            <w:vAlign w:val="center"/>
          </w:tcPr>
          <w:p>
            <w:pPr>
              <w:shd w:fill="F7F9FA"/>
              <w:spacing w:after="0" w:line="259" w:lineRule="auto"/>
            </w:pPr>
            <w:r>
              <w:rPr>
                <w:sz w:val="16"/>
              </w:rPr>
              <w:t>Hvordan kan løsningen skade, forstyrre eller flytte byrde?</w:t>
            </w:r>
          </w:p>
        </w:tc>
      </w:tr>
      <w:tr>
        <w:tc>
          <w:tcPr>
            <w:tcW w:type="dxa" w:w="1656"/>
            <w:tcMar>
              <w:top w:w="90" w:type="dxa"/>
              <w:start w:w="120" w:type="dxa"/>
              <w:bottom w:w="90" w:type="dxa"/>
              <w:end w:w="120" w:type="dxa"/>
            </w:tcMar>
            <w:vAlign w:val="center"/>
          </w:tcPr>
          <w:p>
            <w:pPr>
              <w:spacing w:after="0" w:line="259" w:lineRule="auto"/>
            </w:pPr>
            <w:r>
              <w:rPr>
                <w:sz w:val="16"/>
              </w:rPr>
              <w:t>Build</w:t>
            </w:r>
          </w:p>
        </w:tc>
        <w:tc>
          <w:tcPr>
            <w:tcW w:type="dxa" w:w="3600"/>
            <w:tcMar>
              <w:top w:w="90" w:type="dxa"/>
              <w:start w:w="120" w:type="dxa"/>
              <w:bottom w:w="90" w:type="dxa"/>
              <w:end w:w="120" w:type="dxa"/>
            </w:tcMar>
            <w:vAlign w:val="center"/>
          </w:tcPr>
          <w:p>
            <w:pPr>
              <w:spacing w:after="0" w:line="259" w:lineRule="auto"/>
            </w:pPr>
            <w:r>
              <w:rPr>
                <w:sz w:val="16"/>
              </w:rPr>
              <w:t>ADR, PRD, evidence bundle</w:t>
            </w:r>
          </w:p>
        </w:tc>
        <w:tc>
          <w:tcPr>
            <w:tcW w:type="dxa" w:w="4104"/>
            <w:tcMar>
              <w:top w:w="90" w:type="dxa"/>
              <w:start w:w="120" w:type="dxa"/>
              <w:bottom w:w="90" w:type="dxa"/>
              <w:end w:w="120" w:type="dxa"/>
            </w:tcMar>
            <w:vAlign w:val="center"/>
          </w:tcPr>
          <w:p>
            <w:pPr>
              <w:spacing w:after="0" w:line="259" w:lineRule="auto"/>
            </w:pPr>
            <w:r>
              <w:rPr>
                <w:sz w:val="16"/>
              </w:rPr>
              <w:t>Er adfærden versioneret, testbar og reproducerbar?</w:t>
            </w:r>
          </w:p>
        </w:tc>
      </w:tr>
      <w:tr>
        <w:tc>
          <w:tcPr>
            <w:tcW w:type="dxa" w:w="1656"/>
            <w:tcMar>
              <w:top w:w="90" w:type="dxa"/>
              <w:start w:w="120" w:type="dxa"/>
              <w:bottom w:w="90" w:type="dxa"/>
              <w:end w:w="120" w:type="dxa"/>
            </w:tcMar>
            <w:vAlign w:val="center"/>
          </w:tcPr>
          <w:p>
            <w:pPr>
              <w:shd w:fill="F7F9FA"/>
              <w:spacing w:after="0" w:line="259" w:lineRule="auto"/>
            </w:pPr>
            <w:r>
              <w:rPr>
                <w:sz w:val="16"/>
              </w:rPr>
              <w:t>Clinical evaluation</w:t>
            </w:r>
          </w:p>
        </w:tc>
        <w:tc>
          <w:tcPr>
            <w:tcW w:type="dxa" w:w="3600"/>
            <w:tcMar>
              <w:top w:w="90" w:type="dxa"/>
              <w:start w:w="120" w:type="dxa"/>
              <w:bottom w:w="90" w:type="dxa"/>
              <w:end w:w="120" w:type="dxa"/>
            </w:tcMar>
            <w:vAlign w:val="center"/>
          </w:tcPr>
          <w:p>
            <w:pPr>
              <w:shd w:fill="F7F9FA"/>
              <w:spacing w:after="0" w:line="259" w:lineRule="auto"/>
            </w:pPr>
            <w:r>
              <w:rPr>
                <w:sz w:val="16"/>
              </w:rPr>
              <w:t>EP, CSC draft</w:t>
            </w:r>
          </w:p>
        </w:tc>
        <w:tc>
          <w:tcPr>
            <w:tcW w:type="dxa" w:w="4104"/>
            <w:tcMar>
              <w:top w:w="90" w:type="dxa"/>
              <w:start w:w="120" w:type="dxa"/>
              <w:bottom w:w="90" w:type="dxa"/>
              <w:end w:w="120" w:type="dxa"/>
            </w:tcMar>
            <w:vAlign w:val="center"/>
          </w:tcPr>
          <w:p>
            <w:pPr>
              <w:shd w:fill="F7F9FA"/>
              <w:spacing w:after="0" w:line="259" w:lineRule="auto"/>
            </w:pPr>
            <w:r>
              <w:rPr>
                <w:sz w:val="16"/>
              </w:rPr>
              <w:t>Virker den for de relevante populationer under realistiske forhold?</w:t>
            </w:r>
          </w:p>
        </w:tc>
      </w:tr>
      <w:tr>
        <w:tc>
          <w:tcPr>
            <w:tcW w:type="dxa" w:w="1656"/>
            <w:tcMar>
              <w:top w:w="90" w:type="dxa"/>
              <w:start w:w="120" w:type="dxa"/>
              <w:bottom w:w="90" w:type="dxa"/>
              <w:end w:w="120" w:type="dxa"/>
            </w:tcMar>
            <w:vAlign w:val="center"/>
          </w:tcPr>
          <w:p>
            <w:pPr>
              <w:spacing w:after="0" w:line="259" w:lineRule="auto"/>
            </w:pPr>
            <w:r>
              <w:rPr>
                <w:sz w:val="16"/>
              </w:rPr>
              <w:t>Release</w:t>
            </w:r>
          </w:p>
        </w:tc>
        <w:tc>
          <w:tcPr>
            <w:tcW w:type="dxa" w:w="3600"/>
            <w:tcMar>
              <w:top w:w="90" w:type="dxa"/>
              <w:start w:w="120" w:type="dxa"/>
              <w:bottom w:w="90" w:type="dxa"/>
              <w:end w:w="120" w:type="dxa"/>
            </w:tcMar>
            <w:vAlign w:val="center"/>
          </w:tcPr>
          <w:p>
            <w:pPr>
              <w:spacing w:after="0" w:line="259" w:lineRule="auto"/>
            </w:pPr>
            <w:r>
              <w:rPr>
                <w:sz w:val="16"/>
              </w:rPr>
              <w:t>Final CSC + RD</w:t>
            </w:r>
          </w:p>
        </w:tc>
        <w:tc>
          <w:tcPr>
            <w:tcW w:type="dxa" w:w="4104"/>
            <w:tcMar>
              <w:top w:w="90" w:type="dxa"/>
              <w:start w:w="120" w:type="dxa"/>
              <w:bottom w:w="90" w:type="dxa"/>
              <w:end w:w="120" w:type="dxa"/>
            </w:tcMar>
            <w:vAlign w:val="center"/>
          </w:tcPr>
          <w:p>
            <w:pPr>
              <w:spacing w:after="0" w:line="259" w:lineRule="auto"/>
            </w:pPr>
            <w:r>
              <w:rPr>
                <w:sz w:val="16"/>
              </w:rPr>
              <w:t>Er residualrisiko accepteret, monitorering aktiv og rollback mulig?</w:t>
            </w:r>
          </w:p>
        </w:tc>
      </w:tr>
      <w:tr>
        <w:tc>
          <w:tcPr>
            <w:tcW w:type="dxa" w:w="1656"/>
            <w:tcMar>
              <w:top w:w="90" w:type="dxa"/>
              <w:start w:w="120" w:type="dxa"/>
              <w:bottom w:w="90" w:type="dxa"/>
              <w:end w:w="120" w:type="dxa"/>
            </w:tcMar>
            <w:vAlign w:val="center"/>
          </w:tcPr>
          <w:p>
            <w:pPr>
              <w:shd w:fill="F7F9FA"/>
              <w:spacing w:after="0" w:line="259" w:lineRule="auto"/>
            </w:pPr>
            <w:r>
              <w:rPr>
                <w:sz w:val="16"/>
              </w:rPr>
              <w:t>Operate</w:t>
            </w:r>
          </w:p>
        </w:tc>
        <w:tc>
          <w:tcPr>
            <w:tcW w:type="dxa" w:w="3600"/>
            <w:tcMar>
              <w:top w:w="90" w:type="dxa"/>
              <w:start w:w="120" w:type="dxa"/>
              <w:bottom w:w="90" w:type="dxa"/>
              <w:end w:w="120" w:type="dxa"/>
            </w:tcMar>
            <w:vAlign w:val="center"/>
          </w:tcPr>
          <w:p>
            <w:pPr>
              <w:shd w:fill="F7F9FA"/>
              <w:spacing w:after="0" w:line="259" w:lineRule="auto"/>
            </w:pPr>
            <w:r>
              <w:rPr>
                <w:sz w:val="16"/>
              </w:rPr>
              <w:t>Metrics + ILR</w:t>
            </w:r>
          </w:p>
        </w:tc>
        <w:tc>
          <w:tcPr>
            <w:tcW w:type="dxa" w:w="4104"/>
            <w:tcMar>
              <w:top w:w="90" w:type="dxa"/>
              <w:start w:w="120" w:type="dxa"/>
              <w:bottom w:w="90" w:type="dxa"/>
              <w:end w:w="120" w:type="dxa"/>
            </w:tcMar>
            <w:vAlign w:val="center"/>
          </w:tcPr>
          <w:p>
            <w:pPr>
              <w:shd w:fill="F7F9FA"/>
              <w:spacing w:after="0" w:line="259" w:lineRule="auto"/>
            </w:pPr>
            <w:r>
              <w:rPr>
                <w:sz w:val="16"/>
              </w:rPr>
              <w:t>Består effekten, og opstår drift, ulighed, deskilling eller misuse?</w:t>
            </w:r>
          </w:p>
        </w:tc>
      </w:tr>
      <w:tr>
        <w:tc>
          <w:tcPr>
            <w:tcW w:type="dxa" w:w="1656"/>
            <w:tcMar>
              <w:top w:w="90" w:type="dxa"/>
              <w:start w:w="120" w:type="dxa"/>
              <w:bottom w:w="90" w:type="dxa"/>
              <w:end w:w="120" w:type="dxa"/>
            </w:tcMar>
            <w:vAlign w:val="center"/>
          </w:tcPr>
          <w:p>
            <w:pPr>
              <w:spacing w:after="0" w:line="259" w:lineRule="auto"/>
            </w:pPr>
            <w:r>
              <w:rPr>
                <w:sz w:val="16"/>
              </w:rPr>
              <w:t>Change/retire</w:t>
            </w:r>
          </w:p>
        </w:tc>
        <w:tc>
          <w:tcPr>
            <w:tcW w:type="dxa" w:w="3600"/>
            <w:tcMar>
              <w:top w:w="90" w:type="dxa"/>
              <w:start w:w="120" w:type="dxa"/>
              <w:bottom w:w="90" w:type="dxa"/>
              <w:end w:w="120" w:type="dxa"/>
            </w:tcMar>
            <w:vAlign w:val="center"/>
          </w:tcPr>
          <w:p>
            <w:pPr>
              <w:spacing w:after="0" w:line="259" w:lineRule="auto"/>
            </w:pPr>
            <w:r>
              <w:rPr>
                <w:sz w:val="16"/>
              </w:rPr>
              <w:t>Change proposal / retirement plan</w:t>
            </w:r>
          </w:p>
        </w:tc>
        <w:tc>
          <w:tcPr>
            <w:tcW w:type="dxa" w:w="4104"/>
            <w:tcMar>
              <w:top w:w="90" w:type="dxa"/>
              <w:start w:w="120" w:type="dxa"/>
              <w:bottom w:w="90" w:type="dxa"/>
              <w:end w:w="120" w:type="dxa"/>
            </w:tcMar>
            <w:vAlign w:val="center"/>
          </w:tcPr>
          <w:p>
            <w:pPr>
              <w:spacing w:after="0" w:line="259" w:lineRule="auto"/>
            </w:pPr>
            <w:r>
              <w:rPr>
                <w:sz w:val="16"/>
              </w:rPr>
              <w:t>Er sporbarhed, migration og patient-/driftssikkerhed bevaret?</w:t>
            </w:r>
          </w:p>
        </w:tc>
      </w:tr>
    </w:tbl>
    <w:p>
      <w:pPr>
        <w:spacing w:after="0"/>
      </w:pPr>
    </w:p>
    <w:p>
      <w:pPr>
        <w:pStyle w:val="Heading2"/>
      </w:pPr>
      <w:r>
        <w:t>Release Dossier minimum</w:t>
      </w:r>
    </w:p>
    <w:p>
      <w:pPr>
        <w:pStyle w:val="ListBullet"/>
        <w:spacing w:after="80" w:line="300" w:lineRule="auto"/>
      </w:pPr>
      <w:r>
        <w:t>Versioner af kode, model, regler, evidens og konfiguration.</w:t>
      </w:r>
    </w:p>
    <w:p>
      <w:pPr>
        <w:pStyle w:val="ListBullet"/>
        <w:spacing w:after="80" w:line="300" w:lineRule="auto"/>
      </w:pPr>
      <w:r>
        <w:t>Godkendte krav og verificeringsbevis.</w:t>
      </w:r>
    </w:p>
    <w:p>
      <w:pPr>
        <w:pStyle w:val="ListBullet"/>
        <w:spacing w:after="80" w:line="300" w:lineRule="auto"/>
      </w:pPr>
      <w:r>
        <w:t>Clinical Safety Case og Evaluation Protocol-resultat.</w:t>
      </w:r>
    </w:p>
    <w:p>
      <w:pPr>
        <w:pStyle w:val="ListBullet"/>
        <w:spacing w:after="80" w:line="300" w:lineRule="auto"/>
      </w:pPr>
      <w:r>
        <w:t>Kendte begrænsninger, residualrisiko og berørte grupper.</w:t>
      </w:r>
    </w:p>
    <w:p>
      <w:pPr>
        <w:pStyle w:val="ListBullet"/>
        <w:spacing w:after="80" w:line="300" w:lineRule="auto"/>
      </w:pPr>
      <w:r>
        <w:t>Monitoreringsplan, ansvarlige ejere, tærskler, fallback og rollback.</w:t>
      </w:r>
    </w:p>
    <w:p>
      <w:pPr>
        <w:pStyle w:val="ListBullet"/>
        <w:spacing w:after="80" w:line="300" w:lineRule="auto"/>
      </w:pPr>
      <w:r>
        <w:t>Kommunikations- og træningsplan samt ændringslog.</w:t>
      </w:r>
    </w:p>
    <w:p>
      <w:r>
        <w:br w:type="page"/>
      </w:r>
    </w:p>
    <w:p>
      <w:pPr>
        <w:spacing w:after="60"/>
      </w:pPr>
      <w:r>
        <w:rPr>
          <w:b/>
          <w:color w:val="667085"/>
          <w:sz w:val="18"/>
        </w:rPr>
        <w:t>VIDEN SOM STYRET PORTEFØLJE</w:t>
      </w:r>
    </w:p>
    <w:p>
      <w:pPr>
        <w:pStyle w:val="Heading1"/>
      </w:pPr>
      <w:r>
        <w:t>17. Research Agenda og evalueringsøkologi</w:t>
      </w:r>
    </w:p>
    <w:p>
      <w:r>
        <w:rPr>
          <w:rFonts w:ascii="Calibri" w:hAnsi="Calibri"/>
          <w:i w:val="0"/>
          <w:sz w:val="22"/>
        </w:rPr>
        <w:t>Research Agenda er ikke en ønskeliste. Den prioriterer usikkerheder, der blokerer governance, arkitektur eller patientsikkerhed.</w:t>
      </w:r>
    </w:p>
    <w:tbl>
      <w:tblPr>
        <w:tblW w:type="dxa" w:w="9360"/>
        <w:jc w:val="left"/>
        <w:tblLayout w:type="fixed"/>
        <w:tblLook w:firstColumn="1" w:firstRow="1" w:lastColumn="0" w:lastRow="0" w:noHBand="0" w:noVBand="1" w:val="04A0"/>
        <w:tblInd w:w="120" w:type="dxa"/>
      </w:tblPr>
      <w:tblGrid>
        <w:gridCol w:w="1728"/>
        <w:gridCol w:w="4680"/>
        <w:gridCol w:w="2952"/>
      </w:tblGrid>
      <w:tr>
        <w:trPr>
          <w:tblHeader/>
        </w:trPr>
        <w:tc>
          <w:tcPr>
            <w:tcW w:type="dxa" w:w="1728"/>
            <w:tcMar>
              <w:top w:w="90" w:type="dxa"/>
              <w:start w:w="120" w:type="dxa"/>
              <w:bottom w:w="90" w:type="dxa"/>
              <w:end w:w="120" w:type="dxa"/>
            </w:tcMar>
            <w:vAlign w:val="center"/>
          </w:tcPr>
          <w:p>
            <w:pPr>
              <w:shd w:fill="DCE6EB"/>
            </w:pPr>
            <w:r>
              <w:rPr>
                <w:b/>
                <w:color w:val="15324A"/>
                <w:sz w:val="17"/>
              </w:rPr>
              <w:t>Prioritet</w:t>
            </w:r>
          </w:p>
        </w:tc>
        <w:tc>
          <w:tcPr>
            <w:tcW w:type="dxa" w:w="4680"/>
            <w:tcMar>
              <w:top w:w="90" w:type="dxa"/>
              <w:start w:w="120" w:type="dxa"/>
              <w:bottom w:w="90" w:type="dxa"/>
              <w:end w:w="120" w:type="dxa"/>
            </w:tcMar>
            <w:vAlign w:val="center"/>
          </w:tcPr>
          <w:p>
            <w:pPr>
              <w:shd w:fill="DCE6EB"/>
            </w:pPr>
            <w:r>
              <w:rPr>
                <w:b/>
                <w:color w:val="15324A"/>
                <w:sz w:val="17"/>
              </w:rPr>
              <w:t>Kriterier</w:t>
            </w:r>
          </w:p>
        </w:tc>
        <w:tc>
          <w:tcPr>
            <w:tcW w:type="dxa" w:w="2952"/>
            <w:tcMar>
              <w:top w:w="90" w:type="dxa"/>
              <w:start w:w="120" w:type="dxa"/>
              <w:bottom w:w="90" w:type="dxa"/>
              <w:end w:w="120" w:type="dxa"/>
            </w:tcMar>
            <w:vAlign w:val="center"/>
          </w:tcPr>
          <w:p>
            <w:pPr>
              <w:shd w:fill="DCE6EB"/>
            </w:pPr>
            <w:r>
              <w:rPr>
                <w:b/>
                <w:color w:val="15324A"/>
                <w:sz w:val="17"/>
              </w:rPr>
              <w:t>Output</w:t>
            </w:r>
          </w:p>
        </w:tc>
      </w:tr>
      <w:tr>
        <w:tc>
          <w:tcPr>
            <w:tcW w:type="dxa" w:w="1728"/>
            <w:tcMar>
              <w:top w:w="90" w:type="dxa"/>
              <w:start w:w="120" w:type="dxa"/>
              <w:bottom w:w="90" w:type="dxa"/>
              <w:end w:w="120" w:type="dxa"/>
            </w:tcMar>
            <w:vAlign w:val="center"/>
          </w:tcPr>
          <w:p>
            <w:pPr>
              <w:spacing w:after="0" w:line="259" w:lineRule="auto"/>
            </w:pPr>
            <w:r>
              <w:rPr>
                <w:sz w:val="17"/>
              </w:rPr>
              <w:t>R1 - Kritisk</w:t>
            </w:r>
          </w:p>
        </w:tc>
        <w:tc>
          <w:tcPr>
            <w:tcW w:type="dxa" w:w="4680"/>
            <w:tcMar>
              <w:top w:w="90" w:type="dxa"/>
              <w:start w:w="120" w:type="dxa"/>
              <w:bottom w:w="90" w:type="dxa"/>
              <w:end w:w="120" w:type="dxa"/>
            </w:tcMar>
            <w:vAlign w:val="center"/>
          </w:tcPr>
          <w:p>
            <w:pPr>
              <w:spacing w:after="0" w:line="259" w:lineRule="auto"/>
            </w:pPr>
            <w:r>
              <w:rPr>
                <w:sz w:val="17"/>
              </w:rPr>
              <w:t>Kan ændre Constitution-fortolkning, residualrisiko eller releasebeslutning</w:t>
            </w:r>
          </w:p>
        </w:tc>
        <w:tc>
          <w:tcPr>
            <w:tcW w:type="dxa" w:w="2952"/>
            <w:tcMar>
              <w:top w:w="90" w:type="dxa"/>
              <w:start w:w="120" w:type="dxa"/>
              <w:bottom w:w="90" w:type="dxa"/>
              <w:end w:w="120" w:type="dxa"/>
            </w:tcMar>
            <w:vAlign w:val="center"/>
          </w:tcPr>
          <w:p>
            <w:pPr>
              <w:spacing w:after="0" w:line="259" w:lineRule="auto"/>
            </w:pPr>
            <w:r>
              <w:rPr>
                <w:sz w:val="17"/>
              </w:rPr>
              <w:t>Præregistreret evaluering + tidsbundet governance action</w:t>
            </w:r>
          </w:p>
        </w:tc>
      </w:tr>
      <w:tr>
        <w:tc>
          <w:tcPr>
            <w:tcW w:type="dxa" w:w="1728"/>
            <w:tcMar>
              <w:top w:w="90" w:type="dxa"/>
              <w:start w:w="120" w:type="dxa"/>
              <w:bottom w:w="90" w:type="dxa"/>
              <w:end w:w="120" w:type="dxa"/>
            </w:tcMar>
            <w:vAlign w:val="center"/>
          </w:tcPr>
          <w:p>
            <w:pPr>
              <w:shd w:fill="F7F9FA"/>
              <w:spacing w:after="0" w:line="259" w:lineRule="auto"/>
            </w:pPr>
            <w:r>
              <w:rPr>
                <w:sz w:val="17"/>
              </w:rPr>
              <w:t>R2 - Strategisk</w:t>
            </w:r>
          </w:p>
        </w:tc>
        <w:tc>
          <w:tcPr>
            <w:tcW w:type="dxa" w:w="4680"/>
            <w:tcMar>
              <w:top w:w="90" w:type="dxa"/>
              <w:start w:w="120" w:type="dxa"/>
              <w:bottom w:w="90" w:type="dxa"/>
              <w:end w:w="120" w:type="dxa"/>
            </w:tcMar>
            <w:vAlign w:val="center"/>
          </w:tcPr>
          <w:p>
            <w:pPr>
              <w:shd w:fill="F7F9FA"/>
              <w:spacing w:after="0" w:line="259" w:lineRule="auto"/>
            </w:pPr>
            <w:r>
              <w:rPr>
                <w:sz w:val="17"/>
              </w:rPr>
              <w:t>Kan ændre Design Principles, arkitektur eller centrale metrics</w:t>
            </w:r>
          </w:p>
        </w:tc>
        <w:tc>
          <w:tcPr>
            <w:tcW w:type="dxa" w:w="2952"/>
            <w:tcMar>
              <w:top w:w="90" w:type="dxa"/>
              <w:start w:w="120" w:type="dxa"/>
              <w:bottom w:w="90" w:type="dxa"/>
              <w:end w:w="120" w:type="dxa"/>
            </w:tcMar>
            <w:vAlign w:val="center"/>
          </w:tcPr>
          <w:p>
            <w:pPr>
              <w:shd w:fill="F7F9FA"/>
              <w:spacing w:after="0" w:line="259" w:lineRule="auto"/>
            </w:pPr>
            <w:r>
              <w:rPr>
                <w:sz w:val="17"/>
              </w:rPr>
              <w:t>Position Paper/ADR-opdatering</w:t>
            </w:r>
          </w:p>
        </w:tc>
      </w:tr>
      <w:tr>
        <w:tc>
          <w:tcPr>
            <w:tcW w:type="dxa" w:w="1728"/>
            <w:tcMar>
              <w:top w:w="90" w:type="dxa"/>
              <w:start w:w="120" w:type="dxa"/>
              <w:bottom w:w="90" w:type="dxa"/>
              <w:end w:w="120" w:type="dxa"/>
            </w:tcMar>
            <w:vAlign w:val="center"/>
          </w:tcPr>
          <w:p>
            <w:pPr>
              <w:spacing w:after="0" w:line="259" w:lineRule="auto"/>
            </w:pPr>
            <w:r>
              <w:rPr>
                <w:sz w:val="17"/>
              </w:rPr>
              <w:t>R3 - Forbedring</w:t>
            </w:r>
          </w:p>
        </w:tc>
        <w:tc>
          <w:tcPr>
            <w:tcW w:type="dxa" w:w="4680"/>
            <w:tcMar>
              <w:top w:w="90" w:type="dxa"/>
              <w:start w:w="120" w:type="dxa"/>
              <w:bottom w:w="90" w:type="dxa"/>
              <w:end w:w="120" w:type="dxa"/>
            </w:tcMar>
            <w:vAlign w:val="center"/>
          </w:tcPr>
          <w:p>
            <w:pPr>
              <w:spacing w:after="0" w:line="259" w:lineRule="auto"/>
            </w:pPr>
            <w:r>
              <w:rPr>
                <w:sz w:val="17"/>
              </w:rPr>
              <w:t>Optimerer anvendelighed eller effektivitet uden at ændre grundrisiko</w:t>
            </w:r>
          </w:p>
        </w:tc>
        <w:tc>
          <w:tcPr>
            <w:tcW w:type="dxa" w:w="2952"/>
            <w:tcMar>
              <w:top w:w="90" w:type="dxa"/>
              <w:start w:w="120" w:type="dxa"/>
              <w:bottom w:w="90" w:type="dxa"/>
              <w:end w:w="120" w:type="dxa"/>
            </w:tcMar>
            <w:vAlign w:val="center"/>
          </w:tcPr>
          <w:p>
            <w:pPr>
              <w:spacing w:after="0" w:line="259" w:lineRule="auto"/>
            </w:pPr>
            <w:r>
              <w:rPr>
                <w:sz w:val="17"/>
              </w:rPr>
              <w:t>Produkt-/designlæring</w:t>
            </w:r>
          </w:p>
        </w:tc>
      </w:tr>
      <w:tr>
        <w:tc>
          <w:tcPr>
            <w:tcW w:type="dxa" w:w="1728"/>
            <w:tcMar>
              <w:top w:w="90" w:type="dxa"/>
              <w:start w:w="120" w:type="dxa"/>
              <w:bottom w:w="90" w:type="dxa"/>
              <w:end w:w="120" w:type="dxa"/>
            </w:tcMar>
            <w:vAlign w:val="center"/>
          </w:tcPr>
          <w:p>
            <w:pPr>
              <w:shd w:fill="F7F9FA"/>
              <w:spacing w:after="0" w:line="259" w:lineRule="auto"/>
            </w:pPr>
            <w:r>
              <w:rPr>
                <w:sz w:val="17"/>
              </w:rPr>
              <w:t>R4 - Explorativ</w:t>
            </w:r>
          </w:p>
        </w:tc>
        <w:tc>
          <w:tcPr>
            <w:tcW w:type="dxa" w:w="4680"/>
            <w:tcMar>
              <w:top w:w="90" w:type="dxa"/>
              <w:start w:w="120" w:type="dxa"/>
              <w:bottom w:w="90" w:type="dxa"/>
              <w:end w:w="120" w:type="dxa"/>
            </w:tcMar>
            <w:vAlign w:val="center"/>
          </w:tcPr>
          <w:p>
            <w:pPr>
              <w:shd w:fill="F7F9FA"/>
              <w:spacing w:after="0" w:line="259" w:lineRule="auto"/>
            </w:pPr>
            <w:r>
              <w:rPr>
                <w:sz w:val="17"/>
              </w:rPr>
              <w:t>Umoden hypotese uden aktuel beslutningskonsekvens</w:t>
            </w:r>
          </w:p>
        </w:tc>
        <w:tc>
          <w:tcPr>
            <w:tcW w:type="dxa" w:w="2952"/>
            <w:tcMar>
              <w:top w:w="90" w:type="dxa"/>
              <w:start w:w="120" w:type="dxa"/>
              <w:bottom w:w="90" w:type="dxa"/>
              <w:end w:w="120" w:type="dxa"/>
            </w:tcMar>
            <w:vAlign w:val="center"/>
          </w:tcPr>
          <w:p>
            <w:pPr>
              <w:shd w:fill="F7F9FA"/>
              <w:spacing w:after="0" w:line="259" w:lineRule="auto"/>
            </w:pPr>
            <w:r>
              <w:rPr>
                <w:sz w:val="17"/>
              </w:rPr>
              <w:t>Research Note; ingen produktlegitimering</w:t>
            </w:r>
          </w:p>
        </w:tc>
      </w:tr>
    </w:tbl>
    <w:p>
      <w:pPr>
        <w:spacing w:after="0"/>
      </w:pPr>
    </w:p>
    <w:p>
      <w:pPr>
        <w:pStyle w:val="Heading2"/>
      </w:pPr>
      <w:r>
        <w:t>Evalueringskrav</w:t>
      </w:r>
    </w:p>
    <w:p>
      <w:pPr>
        <w:pStyle w:val="ListBullet"/>
        <w:spacing w:after="80" w:line="300" w:lineRule="auto"/>
      </w:pPr>
      <w:r>
        <w:t>Kliniske endpoints før proxy metrics, når det er praktisk og etisk muligt.</w:t>
      </w:r>
    </w:p>
    <w:p>
      <w:pPr>
        <w:pStyle w:val="ListBullet"/>
        <w:spacing w:after="80" w:line="300" w:lineRule="auto"/>
      </w:pPr>
      <w:r>
        <w:t>Subgroup- og fordelingsanalyse som standard, ikke eftertanke.</w:t>
      </w:r>
    </w:p>
    <w:p>
      <w:pPr>
        <w:pStyle w:val="ListBullet"/>
        <w:spacing w:after="80" w:line="300" w:lineRule="auto"/>
      </w:pPr>
      <w:r>
        <w:t>Human factors: opmærksomhed, workarounds, over-/undertillid og faktisk kontrol.</w:t>
      </w:r>
    </w:p>
    <w:p>
      <w:pPr>
        <w:pStyle w:val="ListBullet"/>
        <w:spacing w:after="80" w:line="300" w:lineRule="auto"/>
      </w:pPr>
      <w:r>
        <w:t>Kompetence og læring over tid for automationstunge use cases.</w:t>
      </w:r>
    </w:p>
    <w:p>
      <w:pPr>
        <w:pStyle w:val="ListBullet"/>
        <w:spacing w:after="80" w:line="300" w:lineRule="auto"/>
      </w:pPr>
      <w:r>
        <w:t>Negative og null-resultater bevares og påvirker governance på lige fod med positive resultater.</w:t>
      </w:r>
    </w:p>
    <w:p>
      <w:r>
        <w:br w:type="page"/>
      </w:r>
    </w:p>
    <w:p>
      <w:pPr>
        <w:spacing w:after="60"/>
      </w:pPr>
      <w:r>
        <w:rPr>
          <w:b/>
          <w:color w:val="667085"/>
          <w:sz w:val="18"/>
        </w:rPr>
        <w:t>LUK FEEDBACKSLØJFEN</w:t>
      </w:r>
    </w:p>
    <w:p>
      <w:pPr>
        <w:pStyle w:val="Heading1"/>
      </w:pPr>
      <w:r>
        <w:t>18. Hændelser og organisatorisk læring</w:t>
      </w:r>
    </w:p>
    <w:p>
      <w:pPr>
        <w:pStyle w:val="Heading2"/>
      </w:pPr>
      <w:r>
        <w:t>Incident &amp; Learning Record</w:t>
      </w:r>
    </w:p>
    <w:tbl>
      <w:tblPr>
        <w:tblW w:type="dxa" w:w="9360"/>
        <w:jc w:val="left"/>
        <w:tblLayout w:type="fixed"/>
        <w:tblLook w:firstColumn="1" w:firstRow="1" w:lastColumn="0" w:lastRow="0" w:noHBand="0" w:noVBand="1" w:val="04A0"/>
        <w:tblInd w:w="120" w:type="dxa"/>
      </w:tblPr>
      <w:tblGrid>
        <w:gridCol w:w="1872"/>
        <w:gridCol w:w="7488"/>
      </w:tblGrid>
      <w:tr>
        <w:trPr>
          <w:tblHeader/>
        </w:trPr>
        <w:tc>
          <w:tcPr>
            <w:tcW w:type="dxa" w:w="1872"/>
            <w:tcMar>
              <w:top w:w="90" w:type="dxa"/>
              <w:start w:w="120" w:type="dxa"/>
              <w:bottom w:w="90" w:type="dxa"/>
              <w:end w:w="120" w:type="dxa"/>
            </w:tcMar>
            <w:vAlign w:val="center"/>
          </w:tcPr>
          <w:p>
            <w:pPr>
              <w:shd w:fill="DCE6EB"/>
            </w:pPr>
            <w:r>
              <w:rPr>
                <w:b/>
                <w:color w:val="15324A"/>
                <w:sz w:val="17"/>
              </w:rPr>
              <w:t>Felt</w:t>
            </w:r>
          </w:p>
        </w:tc>
        <w:tc>
          <w:tcPr>
            <w:tcW w:type="dxa" w:w="7488"/>
            <w:tcMar>
              <w:top w:w="90" w:type="dxa"/>
              <w:start w:w="120" w:type="dxa"/>
              <w:bottom w:w="90" w:type="dxa"/>
              <w:end w:w="120" w:type="dxa"/>
            </w:tcMar>
            <w:vAlign w:val="center"/>
          </w:tcPr>
          <w:p>
            <w:pPr>
              <w:shd w:fill="DCE6EB"/>
            </w:pPr>
            <w:r>
              <w:rPr>
                <w:b/>
                <w:color w:val="15324A"/>
                <w:sz w:val="17"/>
              </w:rPr>
              <w:t>Indhold</w:t>
            </w:r>
          </w:p>
        </w:tc>
      </w:tr>
      <w:tr>
        <w:tc>
          <w:tcPr>
            <w:tcW w:type="dxa" w:w="1872"/>
            <w:tcMar>
              <w:top w:w="90" w:type="dxa"/>
              <w:start w:w="120" w:type="dxa"/>
              <w:bottom w:w="90" w:type="dxa"/>
              <w:end w:w="120" w:type="dxa"/>
            </w:tcMar>
            <w:vAlign w:val="center"/>
          </w:tcPr>
          <w:p>
            <w:pPr>
              <w:spacing w:after="0" w:line="259" w:lineRule="auto"/>
            </w:pPr>
            <w:r>
              <w:rPr>
                <w:sz w:val="17"/>
              </w:rPr>
              <w:t>Signal</w:t>
            </w:r>
          </w:p>
        </w:tc>
        <w:tc>
          <w:tcPr>
            <w:tcW w:type="dxa" w:w="7488"/>
            <w:tcMar>
              <w:top w:w="90" w:type="dxa"/>
              <w:start w:w="120" w:type="dxa"/>
              <w:bottom w:w="90" w:type="dxa"/>
              <w:end w:w="120" w:type="dxa"/>
            </w:tcMar>
            <w:vAlign w:val="center"/>
          </w:tcPr>
          <w:p>
            <w:pPr>
              <w:spacing w:after="0" w:line="259" w:lineRule="auto"/>
            </w:pPr>
            <w:r>
              <w:rPr>
                <w:sz w:val="17"/>
              </w:rPr>
              <w:t>Hændelse, near miss, klage, drift, bias, security eller uventet workaround.</w:t>
            </w:r>
          </w:p>
        </w:tc>
      </w:tr>
      <w:tr>
        <w:tc>
          <w:tcPr>
            <w:tcW w:type="dxa" w:w="1872"/>
            <w:tcMar>
              <w:top w:w="90" w:type="dxa"/>
              <w:start w:w="120" w:type="dxa"/>
              <w:bottom w:w="90" w:type="dxa"/>
              <w:end w:w="120" w:type="dxa"/>
            </w:tcMar>
            <w:vAlign w:val="center"/>
          </w:tcPr>
          <w:p>
            <w:pPr>
              <w:shd w:fill="F7F9FA"/>
              <w:spacing w:after="0" w:line="259" w:lineRule="auto"/>
            </w:pPr>
            <w:r>
              <w:rPr>
                <w:sz w:val="17"/>
              </w:rPr>
              <w:t>Kontekst</w:t>
            </w:r>
          </w:p>
        </w:tc>
        <w:tc>
          <w:tcPr>
            <w:tcW w:type="dxa" w:w="7488"/>
            <w:tcMar>
              <w:top w:w="90" w:type="dxa"/>
              <w:start w:w="120" w:type="dxa"/>
              <w:bottom w:w="90" w:type="dxa"/>
              <w:end w:w="120" w:type="dxa"/>
            </w:tcMar>
            <w:vAlign w:val="center"/>
          </w:tcPr>
          <w:p>
            <w:pPr>
              <w:shd w:fill="F7F9FA"/>
              <w:spacing w:after="0" w:line="259" w:lineRule="auto"/>
            </w:pPr>
            <w:r>
              <w:rPr>
                <w:sz w:val="17"/>
              </w:rPr>
              <w:t>Use case, aktører, versioner, data, organisation og tidsforløb.</w:t>
            </w:r>
          </w:p>
        </w:tc>
      </w:tr>
      <w:tr>
        <w:tc>
          <w:tcPr>
            <w:tcW w:type="dxa" w:w="1872"/>
            <w:tcMar>
              <w:top w:w="90" w:type="dxa"/>
              <w:start w:w="120" w:type="dxa"/>
              <w:bottom w:w="90" w:type="dxa"/>
              <w:end w:w="120" w:type="dxa"/>
            </w:tcMar>
            <w:vAlign w:val="center"/>
          </w:tcPr>
          <w:p>
            <w:pPr>
              <w:spacing w:after="0" w:line="259" w:lineRule="auto"/>
            </w:pPr>
            <w:r>
              <w:rPr>
                <w:sz w:val="17"/>
              </w:rPr>
              <w:t>Effekt</w:t>
            </w:r>
          </w:p>
        </w:tc>
        <w:tc>
          <w:tcPr>
            <w:tcW w:type="dxa" w:w="7488"/>
            <w:tcMar>
              <w:top w:w="90" w:type="dxa"/>
              <w:start w:w="120" w:type="dxa"/>
              <w:bottom w:w="90" w:type="dxa"/>
              <w:end w:w="120" w:type="dxa"/>
            </w:tcMar>
            <w:vAlign w:val="center"/>
          </w:tcPr>
          <w:p>
            <w:pPr>
              <w:spacing w:after="0" w:line="259" w:lineRule="auto"/>
            </w:pPr>
            <w:r>
              <w:rPr>
                <w:sz w:val="17"/>
              </w:rPr>
              <w:t>Faktisk og potentiel skade, fordeling og reversibilitet.</w:t>
            </w:r>
          </w:p>
        </w:tc>
      </w:tr>
      <w:tr>
        <w:tc>
          <w:tcPr>
            <w:tcW w:type="dxa" w:w="1872"/>
            <w:tcMar>
              <w:top w:w="90" w:type="dxa"/>
              <w:start w:w="120" w:type="dxa"/>
              <w:bottom w:w="90" w:type="dxa"/>
              <w:end w:w="120" w:type="dxa"/>
            </w:tcMar>
            <w:vAlign w:val="center"/>
          </w:tcPr>
          <w:p>
            <w:pPr>
              <w:shd w:fill="F7F9FA"/>
              <w:spacing w:after="0" w:line="259" w:lineRule="auto"/>
            </w:pPr>
            <w:r>
              <w:rPr>
                <w:sz w:val="17"/>
              </w:rPr>
              <w:t>Årsag</w:t>
            </w:r>
          </w:p>
        </w:tc>
        <w:tc>
          <w:tcPr>
            <w:tcW w:type="dxa" w:w="7488"/>
            <w:tcMar>
              <w:top w:w="90" w:type="dxa"/>
              <w:start w:w="120" w:type="dxa"/>
              <w:bottom w:w="90" w:type="dxa"/>
              <w:end w:w="120" w:type="dxa"/>
            </w:tcMar>
            <w:vAlign w:val="center"/>
          </w:tcPr>
          <w:p>
            <w:pPr>
              <w:shd w:fill="F7F9FA"/>
              <w:spacing w:after="0" w:line="259" w:lineRule="auto"/>
            </w:pPr>
            <w:r>
              <w:rPr>
                <w:sz w:val="17"/>
              </w:rPr>
              <w:t>Teknisk, epistemisk, designmæssig, organisatorisk og governance-relateret.</w:t>
            </w:r>
          </w:p>
        </w:tc>
      </w:tr>
      <w:tr>
        <w:tc>
          <w:tcPr>
            <w:tcW w:type="dxa" w:w="1872"/>
            <w:tcMar>
              <w:top w:w="90" w:type="dxa"/>
              <w:start w:w="120" w:type="dxa"/>
              <w:bottom w:w="90" w:type="dxa"/>
              <w:end w:w="120" w:type="dxa"/>
            </w:tcMar>
            <w:vAlign w:val="center"/>
          </w:tcPr>
          <w:p>
            <w:pPr>
              <w:spacing w:after="0" w:line="259" w:lineRule="auto"/>
            </w:pPr>
            <w:r>
              <w:rPr>
                <w:sz w:val="17"/>
              </w:rPr>
              <w:t>Handling</w:t>
            </w:r>
          </w:p>
        </w:tc>
        <w:tc>
          <w:tcPr>
            <w:tcW w:type="dxa" w:w="7488"/>
            <w:tcMar>
              <w:top w:w="90" w:type="dxa"/>
              <w:start w:w="120" w:type="dxa"/>
              <w:bottom w:w="90" w:type="dxa"/>
              <w:end w:w="120" w:type="dxa"/>
            </w:tcMar>
            <w:vAlign w:val="center"/>
          </w:tcPr>
          <w:p>
            <w:pPr>
              <w:spacing w:after="0" w:line="259" w:lineRule="auto"/>
            </w:pPr>
            <w:r>
              <w:rPr>
                <w:sz w:val="17"/>
              </w:rPr>
              <w:t>Containment, korrektion, kommunikation, kompensation og læring.</w:t>
            </w:r>
          </w:p>
        </w:tc>
      </w:tr>
      <w:tr>
        <w:tc>
          <w:tcPr>
            <w:tcW w:type="dxa" w:w="1872"/>
            <w:tcMar>
              <w:top w:w="90" w:type="dxa"/>
              <w:start w:w="120" w:type="dxa"/>
              <w:bottom w:w="90" w:type="dxa"/>
              <w:end w:w="120" w:type="dxa"/>
            </w:tcMar>
            <w:vAlign w:val="center"/>
          </w:tcPr>
          <w:p>
            <w:pPr>
              <w:shd w:fill="F7F9FA"/>
              <w:spacing w:after="0" w:line="259" w:lineRule="auto"/>
            </w:pPr>
            <w:r>
              <w:rPr>
                <w:sz w:val="17"/>
              </w:rPr>
              <w:t>Tilbageføring</w:t>
            </w:r>
          </w:p>
        </w:tc>
        <w:tc>
          <w:tcPr>
            <w:tcW w:type="dxa" w:w="7488"/>
            <w:tcMar>
              <w:top w:w="90" w:type="dxa"/>
              <w:start w:w="120" w:type="dxa"/>
              <w:bottom w:w="90" w:type="dxa"/>
              <w:end w:w="120" w:type="dxa"/>
            </w:tcMar>
            <w:vAlign w:val="center"/>
          </w:tcPr>
          <w:p>
            <w:pPr>
              <w:shd w:fill="F7F9FA"/>
              <w:spacing w:after="0" w:line="259" w:lineRule="auto"/>
            </w:pPr>
            <w:r>
              <w:rPr>
                <w:sz w:val="17"/>
              </w:rPr>
              <w:t>Hvilke PRD, ADR, DP, PP, policies eller Constitution-fortolkninger ændres.</w:t>
            </w:r>
          </w:p>
        </w:tc>
      </w:tr>
    </w:tbl>
    <w:p>
      <w:pPr>
        <w:spacing w:after="0"/>
      </w:pPr>
    </w:p>
    <w:p>
      <w:pPr>
        <w:pStyle w:val="Heading2"/>
      </w:pPr>
      <w:r>
        <w:t>Blameless er ikke accountability-free</w:t>
      </w:r>
    </w:p>
    <w:p>
      <w:r>
        <w:rPr>
          <w:rFonts w:ascii="Calibri" w:hAnsi="Calibri"/>
          <w:i w:val="0"/>
          <w:sz w:val="22"/>
        </w:rPr>
        <w:t>Analyse skal kunne afdække systemiske årsager uden at individualisere komplekse fejl. Det fritager ikke navngivne organer og ejere for at reagere, begrunde risikotagning eller korrigere gentagne mønstre.</w:t>
      </w:r>
    </w:p>
    <w:p>
      <w:pPr>
        <w:spacing w:before="100" w:after="180"/>
        <w:ind w:left="173" w:right="173"/>
        <w:shd w:fill="EEF3F6"/>
      </w:pPr>
      <w:r>
        <w:rPr>
          <w:b/>
          <w:color w:val="15324A"/>
        </w:rPr>
        <w:t xml:space="preserve">Læringskrav: </w:t>
      </w:r>
      <w:r>
        <w:t>En hændelse er ikke lukket, før både den lokale fejl og den styringsmæssige årsag er behandlet - herunder manglende princip, svag konfliktregel, forkert metric eller fraværende ejer.</w:t>
      </w:r>
    </w:p>
    <w:p>
      <w:r>
        <w:br w:type="page"/>
      </w:r>
    </w:p>
    <w:p>
      <w:pPr>
        <w:spacing w:after="60"/>
      </w:pPr>
      <w:r>
        <w:rPr>
          <w:b/>
          <w:color w:val="667085"/>
          <w:sz w:val="18"/>
        </w:rPr>
        <w:t>HAR CORTEX ET SAMLET FUNDAMENT?</w:t>
      </w:r>
    </w:p>
    <w:p>
      <w:pPr>
        <w:pStyle w:val="Heading1"/>
      </w:pPr>
      <w:r>
        <w:t>19. Filosofisk sammenhæng</w:t>
      </w:r>
    </w:p>
    <w:tbl>
      <w:tblPr>
        <w:tblW w:type="dxa" w:w="9360"/>
        <w:jc w:val="left"/>
        <w:tblLayout w:type="fixed"/>
        <w:tblLook w:firstColumn="1" w:firstRow="1" w:lastColumn="0" w:lastRow="0" w:noHBand="0" w:noVBand="1" w:val="04A0"/>
        <w:tblInd w:w="120" w:type="dxa"/>
      </w:tblPr>
      <w:tblGrid>
        <w:gridCol w:w="1800"/>
        <w:gridCol w:w="3960"/>
        <w:gridCol w:w="3600"/>
      </w:tblGrid>
      <w:tr>
        <w:trPr>
          <w:tblHeader/>
        </w:trPr>
        <w:tc>
          <w:tcPr>
            <w:tcW w:type="dxa" w:w="1800"/>
            <w:tcMar>
              <w:top w:w="90" w:type="dxa"/>
              <w:start w:w="120" w:type="dxa"/>
              <w:bottom w:w="90" w:type="dxa"/>
              <w:end w:w="120" w:type="dxa"/>
            </w:tcMar>
            <w:vAlign w:val="center"/>
          </w:tcPr>
          <w:p>
            <w:pPr>
              <w:shd w:fill="DCE6EB"/>
            </w:pPr>
            <w:r>
              <w:rPr>
                <w:b/>
                <w:color w:val="15324A"/>
                <w:sz w:val="16"/>
              </w:rPr>
              <w:t>Domæne</w:t>
            </w:r>
          </w:p>
        </w:tc>
        <w:tc>
          <w:tcPr>
            <w:tcW w:type="dxa" w:w="3960"/>
            <w:tcMar>
              <w:top w:w="90" w:type="dxa"/>
              <w:start w:w="120" w:type="dxa"/>
              <w:bottom w:w="90" w:type="dxa"/>
              <w:end w:w="120" w:type="dxa"/>
            </w:tcMar>
            <w:vAlign w:val="center"/>
          </w:tcPr>
          <w:p>
            <w:pPr>
              <w:shd w:fill="DCE6EB"/>
            </w:pPr>
            <w:r>
              <w:rPr>
                <w:b/>
                <w:color w:val="15324A"/>
                <w:sz w:val="16"/>
              </w:rPr>
              <w:t>Nuværende sammenhæng</w:t>
            </w:r>
          </w:p>
        </w:tc>
        <w:tc>
          <w:tcPr>
            <w:tcW w:type="dxa" w:w="3600"/>
            <w:tcMar>
              <w:top w:w="90" w:type="dxa"/>
              <w:start w:w="120" w:type="dxa"/>
              <w:bottom w:w="90" w:type="dxa"/>
              <w:end w:w="120" w:type="dxa"/>
            </w:tcMar>
            <w:vAlign w:val="center"/>
          </w:tcPr>
          <w:p>
            <w:pPr>
              <w:shd w:fill="DCE6EB"/>
            </w:pPr>
            <w:r>
              <w:rPr>
                <w:b/>
                <w:color w:val="15324A"/>
                <w:sz w:val="16"/>
              </w:rPr>
              <w:t>Mangel / krav til v1.x</w:t>
            </w:r>
          </w:p>
        </w:tc>
      </w:tr>
      <w:tr>
        <w:tc>
          <w:tcPr>
            <w:tcW w:type="dxa" w:w="1800"/>
            <w:tcMar>
              <w:top w:w="90" w:type="dxa"/>
              <w:start w:w="120" w:type="dxa"/>
              <w:bottom w:w="90" w:type="dxa"/>
              <w:end w:w="120" w:type="dxa"/>
            </w:tcMar>
            <w:vAlign w:val="center"/>
          </w:tcPr>
          <w:p>
            <w:pPr>
              <w:spacing w:after="0" w:line="259" w:lineRule="auto"/>
            </w:pPr>
            <w:r>
              <w:rPr>
                <w:sz w:val="16"/>
              </w:rPr>
              <w:t>Menneskesyn</w:t>
            </w:r>
          </w:p>
        </w:tc>
        <w:tc>
          <w:tcPr>
            <w:tcW w:type="dxa" w:w="3960"/>
            <w:tcMar>
              <w:top w:w="90" w:type="dxa"/>
              <w:start w:w="120" w:type="dxa"/>
              <w:bottom w:w="90" w:type="dxa"/>
              <w:end w:w="120" w:type="dxa"/>
            </w:tcMar>
            <w:vAlign w:val="center"/>
          </w:tcPr>
          <w:p>
            <w:pPr>
              <w:spacing w:after="0" w:line="259" w:lineRule="auto"/>
            </w:pPr>
            <w:r>
              <w:rPr>
                <w:sz w:val="16"/>
              </w:rPr>
              <w:t>Sammenhængende: mennesket er fortolkende, relationelt, begrænset og ansvarsbærende - ikke blot datapunkt.</w:t>
            </w:r>
          </w:p>
        </w:tc>
        <w:tc>
          <w:tcPr>
            <w:tcW w:type="dxa" w:w="3600"/>
            <w:tcMar>
              <w:top w:w="90" w:type="dxa"/>
              <w:start w:w="120" w:type="dxa"/>
              <w:bottom w:w="90" w:type="dxa"/>
              <w:end w:w="120" w:type="dxa"/>
            </w:tcMar>
            <w:vAlign w:val="center"/>
          </w:tcPr>
          <w:p>
            <w:pPr>
              <w:spacing w:after="0" w:line="259" w:lineRule="auto"/>
            </w:pPr>
            <w:r>
              <w:rPr>
                <w:sz w:val="16"/>
              </w:rPr>
              <w:t>Gør værdighed, patientens agency og kollektiv afhængighed eksplicit i PP.</w:t>
            </w:r>
          </w:p>
        </w:tc>
      </w:tr>
      <w:tr>
        <w:tc>
          <w:tcPr>
            <w:tcW w:type="dxa" w:w="1800"/>
            <w:tcMar>
              <w:top w:w="90" w:type="dxa"/>
              <w:start w:w="120" w:type="dxa"/>
              <w:bottom w:w="90" w:type="dxa"/>
              <w:end w:w="120" w:type="dxa"/>
            </w:tcMar>
            <w:vAlign w:val="center"/>
          </w:tcPr>
          <w:p>
            <w:pPr>
              <w:shd w:fill="F7F9FA"/>
              <w:spacing w:after="0" w:line="259" w:lineRule="auto"/>
            </w:pPr>
            <w:r>
              <w:rPr>
                <w:sz w:val="16"/>
              </w:rPr>
              <w:t>Epistemologi</w:t>
            </w:r>
          </w:p>
        </w:tc>
        <w:tc>
          <w:tcPr>
            <w:tcW w:type="dxa" w:w="3960"/>
            <w:tcMar>
              <w:top w:w="90" w:type="dxa"/>
              <w:start w:w="120" w:type="dxa"/>
              <w:bottom w:w="90" w:type="dxa"/>
              <w:end w:w="120" w:type="dxa"/>
            </w:tcMar>
            <w:vAlign w:val="center"/>
          </w:tcPr>
          <w:p>
            <w:pPr>
              <w:shd w:fill="F7F9FA"/>
              <w:spacing w:after="0" w:line="259" w:lineRule="auto"/>
            </w:pPr>
            <w:r>
              <w:rPr>
                <w:sz w:val="16"/>
              </w:rPr>
              <w:t>Stærk kerne: viden er kontekstuel, usikker og handlingsrettet.</w:t>
            </w:r>
          </w:p>
        </w:tc>
        <w:tc>
          <w:tcPr>
            <w:tcW w:type="dxa" w:w="3600"/>
            <w:tcMar>
              <w:top w:w="90" w:type="dxa"/>
              <w:start w:w="120" w:type="dxa"/>
              <w:bottom w:w="90" w:type="dxa"/>
              <w:end w:w="120" w:type="dxa"/>
            </w:tcMar>
            <w:vAlign w:val="center"/>
          </w:tcPr>
          <w:p>
            <w:pPr>
              <w:shd w:fill="F7F9FA"/>
              <w:spacing w:after="0" w:line="259" w:lineRule="auto"/>
            </w:pPr>
            <w:r>
              <w:rPr>
                <w:sz w:val="16"/>
              </w:rPr>
              <w:t>Formel evidensmodel, uenighed, provenance, calibration og ‘unknown’ state.</w:t>
            </w:r>
          </w:p>
        </w:tc>
      </w:tr>
      <w:tr>
        <w:tc>
          <w:tcPr>
            <w:tcW w:type="dxa" w:w="1800"/>
            <w:tcMar>
              <w:top w:w="90" w:type="dxa"/>
              <w:start w:w="120" w:type="dxa"/>
              <w:bottom w:w="90" w:type="dxa"/>
              <w:end w:w="120" w:type="dxa"/>
            </w:tcMar>
            <w:vAlign w:val="center"/>
          </w:tcPr>
          <w:p>
            <w:pPr>
              <w:spacing w:after="0" w:line="259" w:lineRule="auto"/>
            </w:pPr>
            <w:r>
              <w:rPr>
                <w:sz w:val="16"/>
              </w:rPr>
              <w:t>Etik</w:t>
            </w:r>
          </w:p>
        </w:tc>
        <w:tc>
          <w:tcPr>
            <w:tcW w:type="dxa" w:w="3960"/>
            <w:tcMar>
              <w:top w:w="90" w:type="dxa"/>
              <w:start w:w="120" w:type="dxa"/>
              <w:bottom w:w="90" w:type="dxa"/>
              <w:end w:w="120" w:type="dxa"/>
            </w:tcMar>
            <w:vAlign w:val="center"/>
          </w:tcPr>
          <w:p>
            <w:pPr>
              <w:spacing w:after="0" w:line="259" w:lineRule="auto"/>
            </w:pPr>
            <w:r>
              <w:rPr>
                <w:sz w:val="16"/>
              </w:rPr>
              <w:t>Sammenhængende efter ratificering: værdighed, autonomi, proportionalitet, retfærdighed og ansvar.</w:t>
            </w:r>
          </w:p>
        </w:tc>
        <w:tc>
          <w:tcPr>
            <w:tcW w:type="dxa" w:w="3600"/>
            <w:tcMar>
              <w:top w:w="90" w:type="dxa"/>
              <w:start w:w="120" w:type="dxa"/>
              <w:bottom w:w="90" w:type="dxa"/>
              <w:end w:w="120" w:type="dxa"/>
            </w:tcMar>
            <w:vAlign w:val="center"/>
          </w:tcPr>
          <w:p>
            <w:pPr>
              <w:spacing w:after="0" w:line="259" w:lineRule="auto"/>
            </w:pPr>
            <w:r>
              <w:rPr>
                <w:sz w:val="16"/>
              </w:rPr>
              <w:t>Fordelingsetik, kommercielle konflikter og legitim tvang skal uddybes.</w:t>
            </w:r>
          </w:p>
        </w:tc>
      </w:tr>
      <w:tr>
        <w:tc>
          <w:tcPr>
            <w:tcW w:type="dxa" w:w="1800"/>
            <w:tcMar>
              <w:top w:w="90" w:type="dxa"/>
              <w:start w:w="120" w:type="dxa"/>
              <w:bottom w:w="90" w:type="dxa"/>
              <w:end w:w="120" w:type="dxa"/>
            </w:tcMar>
            <w:vAlign w:val="center"/>
          </w:tcPr>
          <w:p>
            <w:pPr>
              <w:shd w:fill="F7F9FA"/>
              <w:spacing w:after="0" w:line="259" w:lineRule="auto"/>
            </w:pPr>
            <w:r>
              <w:rPr>
                <w:sz w:val="16"/>
              </w:rPr>
              <w:t>Klinisk arbejde</w:t>
            </w:r>
          </w:p>
        </w:tc>
        <w:tc>
          <w:tcPr>
            <w:tcW w:type="dxa" w:w="3960"/>
            <w:tcMar>
              <w:top w:w="90" w:type="dxa"/>
              <w:start w:w="120" w:type="dxa"/>
              <w:bottom w:w="90" w:type="dxa"/>
              <w:end w:w="120" w:type="dxa"/>
            </w:tcMar>
            <w:vAlign w:val="center"/>
          </w:tcPr>
          <w:p>
            <w:pPr>
              <w:shd w:fill="F7F9FA"/>
              <w:spacing w:after="0" w:line="259" w:lineRule="auto"/>
            </w:pPr>
            <w:r>
              <w:rPr>
                <w:sz w:val="16"/>
              </w:rPr>
              <w:t>Stærk teori: beslutning under usikkerhed i relationel og organisatorisk kontekst.</w:t>
            </w:r>
          </w:p>
        </w:tc>
        <w:tc>
          <w:tcPr>
            <w:tcW w:type="dxa" w:w="3600"/>
            <w:tcMar>
              <w:top w:w="90" w:type="dxa"/>
              <w:start w:w="120" w:type="dxa"/>
              <w:bottom w:w="90" w:type="dxa"/>
              <w:end w:w="120" w:type="dxa"/>
            </w:tcMar>
            <w:vAlign w:val="center"/>
          </w:tcPr>
          <w:p>
            <w:pPr>
              <w:shd w:fill="F7F9FA"/>
              <w:spacing w:after="0" w:line="259" w:lineRule="auto"/>
            </w:pPr>
            <w:r>
              <w:rPr>
                <w:sz w:val="16"/>
              </w:rPr>
              <w:t>Team, sektorovergange, kontinuitet og patientarbejde er underbeskrevet.</w:t>
            </w:r>
          </w:p>
        </w:tc>
      </w:tr>
      <w:tr>
        <w:tc>
          <w:tcPr>
            <w:tcW w:type="dxa" w:w="1800"/>
            <w:tcMar>
              <w:top w:w="90" w:type="dxa"/>
              <w:start w:w="120" w:type="dxa"/>
              <w:bottom w:w="90" w:type="dxa"/>
              <w:end w:w="120" w:type="dxa"/>
            </w:tcMar>
            <w:vAlign w:val="center"/>
          </w:tcPr>
          <w:p>
            <w:pPr>
              <w:spacing w:after="0" w:line="259" w:lineRule="auto"/>
            </w:pPr>
            <w:r>
              <w:rPr>
                <w:sz w:val="16"/>
              </w:rPr>
              <w:t>Teknologi</w:t>
            </w:r>
          </w:p>
        </w:tc>
        <w:tc>
          <w:tcPr>
            <w:tcW w:type="dxa" w:w="3960"/>
            <w:tcMar>
              <w:top w:w="90" w:type="dxa"/>
              <w:start w:w="120" w:type="dxa"/>
              <w:bottom w:w="90" w:type="dxa"/>
              <w:end w:w="120" w:type="dxa"/>
            </w:tcMar>
            <w:vAlign w:val="center"/>
          </w:tcPr>
          <w:p>
            <w:pPr>
              <w:spacing w:after="0" w:line="259" w:lineRule="auto"/>
            </w:pPr>
            <w:r>
              <w:rPr>
                <w:sz w:val="16"/>
              </w:rPr>
              <w:t>Sammenhængende: kognitivt og socioteknisk redskab, der ændrer brugeren og systemet.</w:t>
            </w:r>
          </w:p>
        </w:tc>
        <w:tc>
          <w:tcPr>
            <w:tcW w:type="dxa" w:w="3600"/>
            <w:tcMar>
              <w:top w:w="90" w:type="dxa"/>
              <w:start w:w="120" w:type="dxa"/>
              <w:bottom w:w="90" w:type="dxa"/>
              <w:end w:w="120" w:type="dxa"/>
            </w:tcMar>
            <w:vAlign w:val="center"/>
          </w:tcPr>
          <w:p>
            <w:pPr>
              <w:spacing w:after="0" w:line="259" w:lineRule="auto"/>
            </w:pPr>
            <w:r>
              <w:rPr>
                <w:sz w:val="16"/>
              </w:rPr>
              <w:t>Mere eksplicit teori om adaptive/autonome systemer og magt gennem infrastruktur.</w:t>
            </w:r>
          </w:p>
        </w:tc>
      </w:tr>
    </w:tbl>
    <w:p>
      <w:pPr>
        <w:spacing w:after="0"/>
      </w:pPr>
    </w:p>
    <w:p>
      <w:pPr>
        <w:spacing w:before="100" w:after="180"/>
        <w:ind w:left="173" w:right="173"/>
        <w:shd w:fill="FFF4CE"/>
      </w:pPr>
      <w:r>
        <w:rPr>
          <w:b/>
          <w:color w:val="8A6400"/>
        </w:rPr>
        <w:t xml:space="preserve">Filosofisk dom: </w:t>
      </w:r>
      <w:r>
        <w:t>Cortex har nu en sammenhængende kerne, men kun hvis governance forstår teknologi som institutionel magt - ikke blot som et værktøj mellem læge og patient.</w:t>
      </w:r>
    </w:p>
    <w:p>
      <w:r>
        <w:br w:type="page"/>
      </w:r>
    </w:p>
    <w:p>
      <w:pPr>
        <w:spacing w:after="60"/>
      </w:pPr>
      <w:r>
        <w:rPr>
          <w:b/>
          <w:color w:val="667085"/>
          <w:sz w:val="18"/>
        </w:rPr>
        <w:t>HVOR ER CORTEX NU?</w:t>
      </w:r>
    </w:p>
    <w:p>
      <w:pPr>
        <w:pStyle w:val="Heading1"/>
      </w:pPr>
      <w:r>
        <w:t>20. Modenhedsvurdering</w:t>
      </w:r>
    </w:p>
    <w:tbl>
      <w:tblPr>
        <w:tblW w:type="dxa" w:w="9360"/>
        <w:jc w:val="left"/>
        <w:tblLayout w:type="fixed"/>
        <w:tblLook w:firstColumn="1" w:firstRow="1" w:lastColumn="0" w:lastRow="0" w:noHBand="0" w:noVBand="1" w:val="04A0"/>
        <w:tblInd w:w="120" w:type="dxa"/>
      </w:tblPr>
      <w:tblGrid>
        <w:gridCol w:w="1440"/>
        <w:gridCol w:w="2016"/>
        <w:gridCol w:w="3240"/>
        <w:gridCol w:w="2664"/>
      </w:tblGrid>
      <w:tr>
        <w:trPr>
          <w:tblHeader/>
        </w:trPr>
        <w:tc>
          <w:tcPr>
            <w:tcW w:type="dxa" w:w="1440"/>
            <w:tcMar>
              <w:top w:w="90" w:type="dxa"/>
              <w:start w:w="120" w:type="dxa"/>
              <w:bottom w:w="90" w:type="dxa"/>
              <w:end w:w="120" w:type="dxa"/>
            </w:tcMar>
            <w:vAlign w:val="center"/>
          </w:tcPr>
          <w:p>
            <w:pPr>
              <w:shd w:fill="DCE6EB"/>
            </w:pPr>
            <w:r>
              <w:rPr>
                <w:b/>
                <w:color w:val="15324A"/>
                <w:sz w:val="16"/>
              </w:rPr>
              <w:t>Niveau</w:t>
            </w:r>
          </w:p>
        </w:tc>
        <w:tc>
          <w:tcPr>
            <w:tcW w:type="dxa" w:w="2016"/>
            <w:tcMar>
              <w:top w:w="90" w:type="dxa"/>
              <w:start w:w="120" w:type="dxa"/>
              <w:bottom w:w="90" w:type="dxa"/>
              <w:end w:w="120" w:type="dxa"/>
            </w:tcMar>
            <w:vAlign w:val="center"/>
          </w:tcPr>
          <w:p>
            <w:pPr>
              <w:shd w:fill="DCE6EB"/>
            </w:pPr>
            <w:r>
              <w:rPr>
                <w:b/>
                <w:color w:val="15324A"/>
                <w:sz w:val="16"/>
              </w:rPr>
              <w:t>Status</w:t>
            </w:r>
          </w:p>
        </w:tc>
        <w:tc>
          <w:tcPr>
            <w:tcW w:type="dxa" w:w="3240"/>
            <w:tcMar>
              <w:top w:w="90" w:type="dxa"/>
              <w:start w:w="120" w:type="dxa"/>
              <w:bottom w:w="90" w:type="dxa"/>
              <w:end w:w="120" w:type="dxa"/>
            </w:tcMar>
            <w:vAlign w:val="center"/>
          </w:tcPr>
          <w:p>
            <w:pPr>
              <w:shd w:fill="DCE6EB"/>
            </w:pPr>
            <w:r>
              <w:rPr>
                <w:b/>
                <w:color w:val="15324A"/>
                <w:sz w:val="16"/>
              </w:rPr>
              <w:t>Bevis</w:t>
            </w:r>
          </w:p>
        </w:tc>
        <w:tc>
          <w:tcPr>
            <w:tcW w:type="dxa" w:w="2664"/>
            <w:tcMar>
              <w:top w:w="90" w:type="dxa"/>
              <w:start w:w="120" w:type="dxa"/>
              <w:bottom w:w="90" w:type="dxa"/>
              <w:end w:w="120" w:type="dxa"/>
            </w:tcMar>
            <w:vAlign w:val="center"/>
          </w:tcPr>
          <w:p>
            <w:pPr>
              <w:shd w:fill="DCE6EB"/>
            </w:pPr>
            <w:r>
              <w:rPr>
                <w:b/>
                <w:color w:val="15324A"/>
                <w:sz w:val="16"/>
              </w:rPr>
              <w:t>Næste tærskel</w:t>
            </w:r>
          </w:p>
        </w:tc>
      </w:tr>
      <w:tr>
        <w:tc>
          <w:tcPr>
            <w:tcW w:type="dxa" w:w="1440"/>
            <w:tcMar>
              <w:top w:w="90" w:type="dxa"/>
              <w:start w:w="120" w:type="dxa"/>
              <w:bottom w:w="90" w:type="dxa"/>
              <w:end w:w="120" w:type="dxa"/>
            </w:tcMar>
            <w:vAlign w:val="center"/>
          </w:tcPr>
          <w:p>
            <w:pPr>
              <w:spacing w:after="0" w:line="259" w:lineRule="auto"/>
            </w:pPr>
            <w:r>
              <w:rPr>
                <w:sz w:val="16"/>
              </w:rPr>
              <w:t>Idé</w:t>
            </w:r>
          </w:p>
        </w:tc>
        <w:tc>
          <w:tcPr>
            <w:tcW w:type="dxa" w:w="2016"/>
            <w:tcMar>
              <w:top w:w="90" w:type="dxa"/>
              <w:start w:w="120" w:type="dxa"/>
              <w:bottom w:w="90" w:type="dxa"/>
              <w:end w:w="120" w:type="dxa"/>
            </w:tcMar>
            <w:vAlign w:val="center"/>
          </w:tcPr>
          <w:p>
            <w:pPr>
              <w:spacing w:after="0" w:line="259" w:lineRule="auto"/>
            </w:pPr>
            <w:r>
              <w:rPr>
                <w:sz w:val="16"/>
              </w:rPr>
              <w:t>Bestået</w:t>
            </w:r>
          </w:p>
        </w:tc>
        <w:tc>
          <w:tcPr>
            <w:tcW w:type="dxa" w:w="3240"/>
            <w:tcMar>
              <w:top w:w="90" w:type="dxa"/>
              <w:start w:w="120" w:type="dxa"/>
              <w:bottom w:w="90" w:type="dxa"/>
              <w:end w:w="120" w:type="dxa"/>
            </w:tcMar>
            <w:vAlign w:val="center"/>
          </w:tcPr>
          <w:p>
            <w:pPr>
              <w:spacing w:after="0" w:line="259" w:lineRule="auto"/>
            </w:pPr>
            <w:r>
              <w:rPr>
                <w:sz w:val="16"/>
              </w:rPr>
              <w:t>Klart problem og ambition</w:t>
            </w:r>
          </w:p>
        </w:tc>
        <w:tc>
          <w:tcPr>
            <w:tcW w:type="dxa" w:w="2664"/>
            <w:tcMar>
              <w:top w:w="90" w:type="dxa"/>
              <w:start w:w="120" w:type="dxa"/>
              <w:bottom w:w="90" w:type="dxa"/>
              <w:end w:w="120" w:type="dxa"/>
            </w:tcMar>
            <w:vAlign w:val="center"/>
          </w:tcPr>
          <w:p>
            <w:pPr>
              <w:spacing w:after="0" w:line="259" w:lineRule="auto"/>
            </w:pPr>
            <w:r>
              <w:rPr>
                <w:sz w:val="16"/>
              </w:rPr>
              <w:t>Vedligehold problemvaliditet</w:t>
            </w:r>
          </w:p>
        </w:tc>
      </w:tr>
      <w:tr>
        <w:tc>
          <w:tcPr>
            <w:tcW w:type="dxa" w:w="1440"/>
            <w:tcMar>
              <w:top w:w="90" w:type="dxa"/>
              <w:start w:w="120" w:type="dxa"/>
              <w:bottom w:w="90" w:type="dxa"/>
              <w:end w:w="120" w:type="dxa"/>
            </w:tcMar>
            <w:vAlign w:val="center"/>
          </w:tcPr>
          <w:p>
            <w:pPr>
              <w:shd w:fill="F7F9FA"/>
              <w:spacing w:after="0" w:line="259" w:lineRule="auto"/>
            </w:pPr>
            <w:r>
              <w:rPr>
                <w:sz w:val="16"/>
              </w:rPr>
              <w:t>Filosofi</w:t>
            </w:r>
          </w:p>
        </w:tc>
        <w:tc>
          <w:tcPr>
            <w:tcW w:type="dxa" w:w="2016"/>
            <w:tcMar>
              <w:top w:w="90" w:type="dxa"/>
              <w:start w:w="120" w:type="dxa"/>
              <w:bottom w:w="90" w:type="dxa"/>
              <w:end w:w="120" w:type="dxa"/>
            </w:tcMar>
            <w:vAlign w:val="center"/>
          </w:tcPr>
          <w:p>
            <w:pPr>
              <w:shd w:fill="F7F9FA"/>
              <w:spacing w:after="0" w:line="259" w:lineRule="auto"/>
            </w:pPr>
            <w:r>
              <w:rPr>
                <w:sz w:val="16"/>
              </w:rPr>
              <w:t>Bestået</w:t>
            </w:r>
          </w:p>
        </w:tc>
        <w:tc>
          <w:tcPr>
            <w:tcW w:type="dxa" w:w="3240"/>
            <w:tcMar>
              <w:top w:w="90" w:type="dxa"/>
              <w:start w:w="120" w:type="dxa"/>
              <w:bottom w:w="90" w:type="dxa"/>
              <w:end w:w="120" w:type="dxa"/>
            </w:tcMar>
            <w:vAlign w:val="center"/>
          </w:tcPr>
          <w:p>
            <w:pPr>
              <w:shd w:fill="F7F9FA"/>
              <w:spacing w:after="0" w:line="259" w:lineRule="auto"/>
            </w:pPr>
            <w:r>
              <w:rPr>
                <w:sz w:val="16"/>
              </w:rPr>
              <w:t>Sammenhængende manuskript og ratificeret kerne</w:t>
            </w:r>
          </w:p>
        </w:tc>
        <w:tc>
          <w:tcPr>
            <w:tcW w:type="dxa" w:w="2664"/>
            <w:tcMar>
              <w:top w:w="90" w:type="dxa"/>
              <w:start w:w="120" w:type="dxa"/>
              <w:bottom w:w="90" w:type="dxa"/>
              <w:end w:w="120" w:type="dxa"/>
            </w:tcMar>
            <w:vAlign w:val="center"/>
          </w:tcPr>
          <w:p>
            <w:pPr>
              <w:shd w:fill="F7F9FA"/>
              <w:spacing w:after="0" w:line="259" w:lineRule="auto"/>
            </w:pPr>
            <w:r>
              <w:rPr>
                <w:sz w:val="16"/>
              </w:rPr>
              <w:t>Position papers og LEX</w:t>
            </w:r>
          </w:p>
        </w:tc>
      </w:tr>
      <w:tr>
        <w:tc>
          <w:tcPr>
            <w:tcW w:type="dxa" w:w="1440"/>
            <w:tcMar>
              <w:top w:w="90" w:type="dxa"/>
              <w:start w:w="120" w:type="dxa"/>
              <w:bottom w:w="90" w:type="dxa"/>
              <w:end w:w="120" w:type="dxa"/>
            </w:tcMar>
            <w:vAlign w:val="center"/>
          </w:tcPr>
          <w:p>
            <w:pPr>
              <w:spacing w:after="0" w:line="259" w:lineRule="auto"/>
            </w:pPr>
            <w:r>
              <w:rPr>
                <w:sz w:val="16"/>
              </w:rPr>
              <w:t>Governance</w:t>
            </w:r>
          </w:p>
        </w:tc>
        <w:tc>
          <w:tcPr>
            <w:tcW w:type="dxa" w:w="2016"/>
            <w:tcMar>
              <w:top w:w="90" w:type="dxa"/>
              <w:start w:w="120" w:type="dxa"/>
              <w:bottom w:w="90" w:type="dxa"/>
              <w:end w:w="120" w:type="dxa"/>
            </w:tcMar>
            <w:vAlign w:val="center"/>
          </w:tcPr>
          <w:p>
            <w:pPr>
              <w:spacing w:after="0" w:line="259" w:lineRule="auto"/>
            </w:pPr>
            <w:r>
              <w:rPr>
                <w:sz w:val="16"/>
              </w:rPr>
              <w:t>Defineret, ikke institutionaliseret</w:t>
            </w:r>
          </w:p>
        </w:tc>
        <w:tc>
          <w:tcPr>
            <w:tcW w:type="dxa" w:w="3240"/>
            <w:tcMar>
              <w:top w:w="90" w:type="dxa"/>
              <w:start w:w="120" w:type="dxa"/>
              <w:bottom w:w="90" w:type="dxa"/>
              <w:end w:w="120" w:type="dxa"/>
            </w:tcMar>
            <w:vAlign w:val="center"/>
          </w:tcPr>
          <w:p>
            <w:pPr>
              <w:spacing w:after="0" w:line="259" w:lineRule="auto"/>
            </w:pPr>
            <w:r>
              <w:rPr>
                <w:sz w:val="16"/>
              </w:rPr>
              <w:t>Framework v1.0 og organmodel</w:t>
            </w:r>
          </w:p>
        </w:tc>
        <w:tc>
          <w:tcPr>
            <w:tcW w:type="dxa" w:w="2664"/>
            <w:tcMar>
              <w:top w:w="90" w:type="dxa"/>
              <w:start w:w="120" w:type="dxa"/>
              <w:bottom w:w="90" w:type="dxa"/>
              <w:end w:w="120" w:type="dxa"/>
            </w:tcMar>
            <w:vAlign w:val="center"/>
          </w:tcPr>
          <w:p>
            <w:pPr>
              <w:spacing w:after="0" w:line="259" w:lineRule="auto"/>
            </w:pPr>
            <w:r>
              <w:rPr>
                <w:sz w:val="16"/>
              </w:rPr>
              <w:t>Udpeg ejere, registry, processer og første audits</w:t>
            </w:r>
          </w:p>
        </w:tc>
      </w:tr>
      <w:tr>
        <w:tc>
          <w:tcPr>
            <w:tcW w:type="dxa" w:w="1440"/>
            <w:tcMar>
              <w:top w:w="90" w:type="dxa"/>
              <w:start w:w="120" w:type="dxa"/>
              <w:bottom w:w="90" w:type="dxa"/>
              <w:end w:w="120" w:type="dxa"/>
            </w:tcMar>
            <w:vAlign w:val="center"/>
          </w:tcPr>
          <w:p>
            <w:pPr>
              <w:shd w:fill="F7F9FA"/>
              <w:spacing w:after="0" w:line="259" w:lineRule="auto"/>
            </w:pPr>
            <w:r>
              <w:rPr>
                <w:sz w:val="16"/>
              </w:rPr>
              <w:t>Arkitektur</w:t>
            </w:r>
          </w:p>
        </w:tc>
        <w:tc>
          <w:tcPr>
            <w:tcW w:type="dxa" w:w="2016"/>
            <w:tcMar>
              <w:top w:w="90" w:type="dxa"/>
              <w:start w:w="120" w:type="dxa"/>
              <w:bottom w:w="90" w:type="dxa"/>
              <w:end w:w="120" w:type="dxa"/>
            </w:tcMar>
            <w:vAlign w:val="center"/>
          </w:tcPr>
          <w:p>
            <w:pPr>
              <w:shd w:fill="F7F9FA"/>
              <w:spacing w:after="0" w:line="259" w:lineRule="auto"/>
            </w:pPr>
            <w:r>
              <w:rPr>
                <w:sz w:val="16"/>
              </w:rPr>
              <w:t>Delvist</w:t>
            </w:r>
          </w:p>
        </w:tc>
        <w:tc>
          <w:tcPr>
            <w:tcW w:type="dxa" w:w="3240"/>
            <w:tcMar>
              <w:top w:w="90" w:type="dxa"/>
              <w:start w:w="120" w:type="dxa"/>
              <w:bottom w:w="90" w:type="dxa"/>
              <w:end w:w="120" w:type="dxa"/>
            </w:tcMar>
            <w:vAlign w:val="center"/>
          </w:tcPr>
          <w:p>
            <w:pPr>
              <w:shd w:fill="F7F9FA"/>
              <w:spacing w:after="0" w:line="259" w:lineRule="auto"/>
            </w:pPr>
            <w:r>
              <w:rPr>
                <w:sz w:val="16"/>
              </w:rPr>
              <w:t>Foreslåede domæner/invariants</w:t>
            </w:r>
          </w:p>
        </w:tc>
        <w:tc>
          <w:tcPr>
            <w:tcW w:type="dxa" w:w="2664"/>
            <w:tcMar>
              <w:top w:w="90" w:type="dxa"/>
              <w:start w:w="120" w:type="dxa"/>
              <w:bottom w:w="90" w:type="dxa"/>
              <w:end w:w="120" w:type="dxa"/>
            </w:tcMar>
            <w:vAlign w:val="center"/>
          </w:tcPr>
          <w:p>
            <w:pPr>
              <w:shd w:fill="F7F9FA"/>
              <w:spacing w:after="0" w:line="259" w:lineRule="auto"/>
            </w:pPr>
            <w:r>
              <w:rPr>
                <w:sz w:val="16"/>
              </w:rPr>
              <w:t>ADR baseline, referencearkitektur og safety architecture</w:t>
            </w:r>
          </w:p>
        </w:tc>
      </w:tr>
      <w:tr>
        <w:tc>
          <w:tcPr>
            <w:tcW w:type="dxa" w:w="1440"/>
            <w:tcMar>
              <w:top w:w="90" w:type="dxa"/>
              <w:start w:w="120" w:type="dxa"/>
              <w:bottom w:w="90" w:type="dxa"/>
              <w:end w:w="120" w:type="dxa"/>
            </w:tcMar>
            <w:vAlign w:val="center"/>
          </w:tcPr>
          <w:p>
            <w:pPr>
              <w:spacing w:after="0" w:line="259" w:lineRule="auto"/>
            </w:pPr>
            <w:r>
              <w:rPr>
                <w:sz w:val="16"/>
              </w:rPr>
              <w:t>Produkt</w:t>
            </w:r>
          </w:p>
        </w:tc>
        <w:tc>
          <w:tcPr>
            <w:tcW w:type="dxa" w:w="2016"/>
            <w:tcMar>
              <w:top w:w="90" w:type="dxa"/>
              <w:start w:w="120" w:type="dxa"/>
              <w:bottom w:w="90" w:type="dxa"/>
              <w:end w:w="120" w:type="dxa"/>
            </w:tcMar>
            <w:vAlign w:val="center"/>
          </w:tcPr>
          <w:p>
            <w:pPr>
              <w:spacing w:after="0" w:line="259" w:lineRule="auto"/>
            </w:pPr>
            <w:r>
              <w:rPr>
                <w:sz w:val="16"/>
              </w:rPr>
              <w:t>Use-case-afhængigt</w:t>
            </w:r>
          </w:p>
        </w:tc>
        <w:tc>
          <w:tcPr>
            <w:tcW w:type="dxa" w:w="3240"/>
            <w:tcMar>
              <w:top w:w="90" w:type="dxa"/>
              <w:start w:w="120" w:type="dxa"/>
              <w:bottom w:w="90" w:type="dxa"/>
              <w:end w:w="120" w:type="dxa"/>
            </w:tcMar>
            <w:vAlign w:val="center"/>
          </w:tcPr>
          <w:p>
            <w:pPr>
              <w:spacing w:after="0" w:line="259" w:lineRule="auto"/>
            </w:pPr>
            <w:r>
              <w:rPr>
                <w:sz w:val="16"/>
              </w:rPr>
              <w:t>Krav og features kan eksistere</w:t>
            </w:r>
          </w:p>
        </w:tc>
        <w:tc>
          <w:tcPr>
            <w:tcW w:type="dxa" w:w="2664"/>
            <w:tcMar>
              <w:top w:w="90" w:type="dxa"/>
              <w:start w:w="120" w:type="dxa"/>
              <w:bottom w:w="90" w:type="dxa"/>
              <w:end w:w="120" w:type="dxa"/>
            </w:tcMar>
            <w:vAlign w:val="center"/>
          </w:tcPr>
          <w:p>
            <w:pPr>
              <w:spacing w:after="0" w:line="259" w:lineRule="auto"/>
            </w:pPr>
            <w:r>
              <w:rPr>
                <w:sz w:val="16"/>
              </w:rPr>
              <w:t>End-to-end traceability + release dossiers</w:t>
            </w:r>
          </w:p>
        </w:tc>
      </w:tr>
      <w:tr>
        <w:tc>
          <w:tcPr>
            <w:tcW w:type="dxa" w:w="1440"/>
            <w:tcMar>
              <w:top w:w="90" w:type="dxa"/>
              <w:start w:w="120" w:type="dxa"/>
              <w:bottom w:w="90" w:type="dxa"/>
              <w:end w:w="120" w:type="dxa"/>
            </w:tcMar>
            <w:vAlign w:val="center"/>
          </w:tcPr>
          <w:p>
            <w:pPr>
              <w:shd w:fill="F7F9FA"/>
              <w:spacing w:after="0" w:line="259" w:lineRule="auto"/>
            </w:pPr>
            <w:r>
              <w:rPr>
                <w:sz w:val="16"/>
              </w:rPr>
              <w:t>Organisation</w:t>
            </w:r>
          </w:p>
        </w:tc>
        <w:tc>
          <w:tcPr>
            <w:tcW w:type="dxa" w:w="2016"/>
            <w:tcMar>
              <w:top w:w="90" w:type="dxa"/>
              <w:start w:w="120" w:type="dxa"/>
              <w:bottom w:w="90" w:type="dxa"/>
              <w:end w:w="120" w:type="dxa"/>
            </w:tcMar>
            <w:vAlign w:val="center"/>
          </w:tcPr>
          <w:p>
            <w:pPr>
              <w:shd w:fill="F7F9FA"/>
              <w:spacing w:after="0" w:line="259" w:lineRule="auto"/>
            </w:pPr>
            <w:r>
              <w:rPr>
                <w:sz w:val="16"/>
              </w:rPr>
              <w:t>Tidligt</w:t>
            </w:r>
          </w:p>
        </w:tc>
        <w:tc>
          <w:tcPr>
            <w:tcW w:type="dxa" w:w="3240"/>
            <w:tcMar>
              <w:top w:w="90" w:type="dxa"/>
              <w:start w:w="120" w:type="dxa"/>
              <w:bottom w:w="90" w:type="dxa"/>
              <w:end w:w="120" w:type="dxa"/>
            </w:tcMar>
            <w:vAlign w:val="center"/>
          </w:tcPr>
          <w:p>
            <w:pPr>
              <w:shd w:fill="F7F9FA"/>
              <w:spacing w:after="0" w:line="259" w:lineRule="auto"/>
            </w:pPr>
            <w:r>
              <w:rPr>
                <w:sz w:val="16"/>
              </w:rPr>
              <w:t>Roller er foreslået</w:t>
            </w:r>
          </w:p>
        </w:tc>
        <w:tc>
          <w:tcPr>
            <w:tcW w:type="dxa" w:w="2664"/>
            <w:tcMar>
              <w:top w:w="90" w:type="dxa"/>
              <w:start w:w="120" w:type="dxa"/>
              <w:bottom w:w="90" w:type="dxa"/>
              <w:end w:w="120" w:type="dxa"/>
            </w:tcMar>
            <w:vAlign w:val="center"/>
          </w:tcPr>
          <w:p>
            <w:pPr>
              <w:shd w:fill="F7F9FA"/>
              <w:spacing w:after="0" w:line="259" w:lineRule="auto"/>
            </w:pPr>
            <w:r>
              <w:rPr>
                <w:sz w:val="16"/>
              </w:rPr>
              <w:t>Mandater, uafhængighed, kapacitet og kultur i drift</w:t>
            </w:r>
          </w:p>
        </w:tc>
      </w:tr>
    </w:tbl>
    <w:p>
      <w:pPr>
        <w:spacing w:after="0"/>
      </w:pPr>
    </w:p>
    <w:p>
      <w:pPr>
        <w:pStyle w:val="Heading2"/>
      </w:pPr>
      <w:r>
        <w:t>Definition of governance maturity</w:t>
      </w:r>
    </w:p>
    <w:p>
      <w:r>
        <w:rPr>
          <w:rFonts w:ascii="Calibri" w:hAnsi="Calibri"/>
          <w:i w:val="0"/>
          <w:sz w:val="22"/>
        </w:rPr>
        <w:t>Governance er først moden, når en reel, tidskritisk beslutning kan standses, ændres og dokumenteres af frameworket - også når den ønskede produktbeslutning er politisk eller kommercielt attraktiv.</w:t>
      </w:r>
    </w:p>
    <w:p>
      <w:r>
        <w:br w:type="page"/>
      </w:r>
    </w:p>
    <w:p>
      <w:pPr>
        <w:spacing w:after="60"/>
      </w:pPr>
      <w:r>
        <w:rPr>
          <w:b/>
          <w:color w:val="667085"/>
          <w:sz w:val="18"/>
        </w:rPr>
        <w:t>HVOR KAN FRAMEWORKET STADIG SVIGTE?</w:t>
      </w:r>
    </w:p>
    <w:p>
      <w:pPr>
        <w:pStyle w:val="Heading1"/>
      </w:pPr>
      <w:r>
        <w:t>21. Kritisk ekstern evaluering</w:t>
      </w:r>
    </w:p>
    <w:p>
      <w:pPr>
        <w:pStyle w:val="Heading2"/>
      </w:pPr>
      <w:r>
        <w:t>Papirgovernance</w:t>
      </w:r>
    </w:p>
    <w:p>
      <w:r>
        <w:rPr>
          <w:rFonts w:ascii="Calibri" w:hAnsi="Calibri"/>
          <w:i w:val="0"/>
          <w:sz w:val="22"/>
        </w:rPr>
        <w:t>Dokumenter kan blive komplette uden at ændre magt eller adfærd. Modtræk: audit af faktiske effekter, beslutninger og undtagelser - ikke kun dokumenttilstedeværelse.</w:t>
      </w:r>
    </w:p>
    <w:p>
      <w:pPr>
        <w:pStyle w:val="Heading2"/>
      </w:pPr>
      <w:r>
        <w:t>Princip-shopping</w:t>
      </w:r>
    </w:p>
    <w:p>
      <w:r>
        <w:rPr>
          <w:rFonts w:ascii="Calibri" w:hAnsi="Calibri"/>
          <w:i w:val="0"/>
          <w:sz w:val="22"/>
        </w:rPr>
        <w:t>Teams kan vælge det princip, der støtter deres løsning. Modtræk: obligatorisk konfliktanalyse, autoritetshierarki og dokumenteret behandling af modhensyn.</w:t>
      </w:r>
    </w:p>
    <w:p>
      <w:pPr>
        <w:pStyle w:val="Heading2"/>
      </w:pPr>
      <w:r>
        <w:t>Safety capture</w:t>
      </w:r>
    </w:p>
    <w:p>
      <w:r>
        <w:rPr>
          <w:rFonts w:ascii="Calibri" w:hAnsi="Calibri"/>
          <w:i w:val="0"/>
          <w:sz w:val="22"/>
        </w:rPr>
        <w:t>Safety-funktionen kan blive afhængig af leveringsorganisationen. Modtræk: selvstændig stopret, uafhængig rapportering og forbud mod alene at acceptere egen risiko.</w:t>
      </w:r>
    </w:p>
    <w:p>
      <w:pPr>
        <w:pStyle w:val="Heading2"/>
      </w:pPr>
      <w:r>
        <w:t>Patientrepræsentation som ritual</w:t>
      </w:r>
    </w:p>
    <w:p>
      <w:r>
        <w:rPr>
          <w:rFonts w:ascii="Calibri" w:hAnsi="Calibri"/>
          <w:i w:val="0"/>
          <w:sz w:val="22"/>
        </w:rPr>
        <w:t>Et panel kan høres sent uden reel indflydelse. Modtræk: faste ratificeringsrettigheder, adgang til information og dokumenteret svar på dissens.</w:t>
      </w:r>
    </w:p>
    <w:p>
      <w:pPr>
        <w:pStyle w:val="Heading2"/>
      </w:pPr>
      <w:r>
        <w:t>Metric gaming</w:t>
      </w:r>
    </w:p>
    <w:p>
      <w:r>
        <w:rPr>
          <w:rFonts w:ascii="Calibri" w:hAnsi="Calibri"/>
          <w:i w:val="0"/>
          <w:sz w:val="22"/>
        </w:rPr>
        <w:t>Målbare indikatorer kan erstatte formålet. Modtræk: kombiner outcome, proces, kvalitative signaler og anti-metrics; review hvis metric forbedres uden forventet patientværdi.</w:t>
      </w:r>
    </w:p>
    <w:p>
      <w:pPr>
        <w:pStyle w:val="Heading2"/>
      </w:pPr>
      <w:r>
        <w:t>Governance overload</w:t>
      </w:r>
    </w:p>
    <w:p>
      <w:r>
        <w:rPr>
          <w:rFonts w:ascii="Calibri" w:hAnsi="Calibri"/>
          <w:i w:val="0"/>
          <w:sz w:val="22"/>
        </w:rPr>
        <w:t>For mange gates kan skabe skyggeprocesser. Modtræk: risikobaseret proportionalitet, genbrugelige artefakter og hurtige veje, men aldrig spring over normative mellemled.</w:t>
      </w:r>
    </w:p>
    <w:p>
      <w:r>
        <w:br w:type="page"/>
      </w:r>
    </w:p>
    <w:p>
      <w:pPr>
        <w:spacing w:after="60"/>
      </w:pPr>
      <w:r>
        <w:rPr>
          <w:b/>
          <w:color w:val="667085"/>
          <w:sz w:val="18"/>
        </w:rPr>
        <w:t>GØR FRAMEWORKET SVÆRT AT OMGÅ</w:t>
      </w:r>
    </w:p>
    <w:p>
      <w:pPr>
        <w:pStyle w:val="Heading1"/>
      </w:pPr>
      <w:r>
        <w:t>22. Anti-misbrug og anti-capture</w:t>
      </w:r>
    </w:p>
    <w:p>
      <w:pPr>
        <w:pStyle w:val="ListBullet"/>
        <w:spacing w:after="80" w:line="300" w:lineRule="auto"/>
      </w:pPr>
      <w:r>
        <w:t>Formålsklausul: En artefakt må ikke bruges uden for sit erklærede scope til at legitimere en bredere beslutning.</w:t>
      </w:r>
    </w:p>
    <w:p>
      <w:pPr>
        <w:pStyle w:val="ListBullet"/>
        <w:spacing w:after="80" w:line="300" w:lineRule="auto"/>
      </w:pPr>
      <w:r>
        <w:t>Substansregel: Klassifikation følger faktisk effekt og risiko, ikke teamets label.</w:t>
      </w:r>
    </w:p>
    <w:p>
      <w:pPr>
        <w:pStyle w:val="ListBullet"/>
        <w:spacing w:after="80" w:line="300" w:lineRule="auto"/>
      </w:pPr>
      <w:r>
        <w:t>Cumulative-impact-regel: Mange små ændringer vurderes samlet, hvis deres virkninger akkumulerer.</w:t>
      </w:r>
    </w:p>
    <w:p>
      <w:pPr>
        <w:pStyle w:val="ListBullet"/>
        <w:spacing w:after="80" w:line="300" w:lineRule="auto"/>
      </w:pPr>
      <w:r>
        <w:t>Default-regel: Formelt frivillige flows vurderes som tvang, hvis defaults, tidspres eller informationsasymmetri gør afvisning urealistisk.</w:t>
      </w:r>
    </w:p>
    <w:p>
      <w:pPr>
        <w:pStyle w:val="ListBullet"/>
        <w:spacing w:after="80" w:line="300" w:lineRule="auto"/>
      </w:pPr>
      <w:r>
        <w:t>Vendor-regel: Leverandørdokumentation kan være evidens, men aldrig den eneste autoritative safety- eller performancekilde ved høj risiko.</w:t>
      </w:r>
    </w:p>
    <w:p>
      <w:pPr>
        <w:pStyle w:val="ListBullet"/>
        <w:spacing w:after="80" w:line="300" w:lineRule="auto"/>
      </w:pPr>
      <w:r>
        <w:t>Sunset-regel: Eksperimenter, undtagelser og midlertidige features udløber automatisk uden aktiv fornyelse.</w:t>
      </w:r>
    </w:p>
    <w:p>
      <w:pPr>
        <w:pStyle w:val="ListBullet"/>
        <w:spacing w:after="80" w:line="300" w:lineRule="auto"/>
      </w:pPr>
      <w:r>
        <w:t>Dissensregel: Uenighed fra safety, patient eller evidence reviewer bevares synligt sammen med afgørelsen.</w:t>
      </w:r>
    </w:p>
    <w:p>
      <w:pPr>
        <w:pStyle w:val="ListBullet"/>
        <w:spacing w:after="80" w:line="300" w:lineRule="auto"/>
      </w:pPr>
      <w:r>
        <w:t>No-self-certification: Teams må ikke alene godkende egne højrisiko-claims, safety cases eller normative undtagelser.</w:t>
      </w:r>
    </w:p>
    <w:p>
      <w:pPr>
        <w:spacing w:before="100" w:after="180"/>
        <w:ind w:left="173" w:right="173"/>
        <w:shd w:fill="FCE8E6"/>
      </w:pPr>
      <w:r>
        <w:rPr>
          <w:b/>
          <w:color w:val="9B2C2C"/>
        </w:rPr>
        <w:t xml:space="preserve">Red flag: </w:t>
      </w:r>
      <w:r>
        <w:t>Hvis frameworket konsekvent bekræfter de beslutninger, organisationen allerede ønskede, fungerer det ikke som governance.</w:t>
      </w:r>
    </w:p>
    <w:p>
      <w:r>
        <w:br w:type="page"/>
      </w:r>
    </w:p>
    <w:p>
      <w:pPr>
        <w:spacing w:after="60"/>
      </w:pPr>
      <w:r>
        <w:rPr>
          <w:b/>
          <w:color w:val="667085"/>
          <w:sz w:val="18"/>
        </w:rPr>
        <w:t>HVAD BESTÅR, OG HVAD ÆNDRES?</w:t>
      </w:r>
    </w:p>
    <w:p>
      <w:pPr>
        <w:pStyle w:val="Heading1"/>
      </w:pPr>
      <w:r>
        <w:t>23. Tyveårsperspektivet</w:t>
      </w:r>
    </w:p>
    <w:tbl>
      <w:tblPr>
        <w:tblW w:type="dxa" w:w="9360"/>
        <w:jc w:val="left"/>
        <w:tblLayout w:type="fixed"/>
        <w:tblLook w:firstColumn="1" w:firstRow="1" w:lastColumn="0" w:lastRow="0" w:noHBand="0" w:noVBand="1" w:val="04A0"/>
        <w:tblInd w:w="120" w:type="dxa"/>
      </w:tblPr>
      <w:tblGrid>
        <w:gridCol w:w="4680"/>
        <w:gridCol w:w="4680"/>
      </w:tblGrid>
      <w:tr>
        <w:trPr>
          <w:tblHeader/>
        </w:trPr>
        <w:tc>
          <w:tcPr>
            <w:tcW w:type="dxa" w:w="4680"/>
            <w:tcMar>
              <w:top w:w="90" w:type="dxa"/>
              <w:start w:w="120" w:type="dxa"/>
              <w:bottom w:w="90" w:type="dxa"/>
              <w:end w:w="120" w:type="dxa"/>
            </w:tcMar>
            <w:vAlign w:val="center"/>
          </w:tcPr>
          <w:p>
            <w:pPr>
              <w:shd w:fill="DCE6EB"/>
            </w:pPr>
            <w:r>
              <w:rPr>
                <w:b/>
                <w:color w:val="15324A"/>
                <w:sz w:val="17"/>
              </w:rPr>
              <w:t>Forventes at bestå</w:t>
            </w:r>
          </w:p>
        </w:tc>
        <w:tc>
          <w:tcPr>
            <w:tcW w:type="dxa" w:w="4680"/>
            <w:tcMar>
              <w:top w:w="90" w:type="dxa"/>
              <w:start w:w="120" w:type="dxa"/>
              <w:bottom w:w="90" w:type="dxa"/>
              <w:end w:w="120" w:type="dxa"/>
            </w:tcMar>
            <w:vAlign w:val="center"/>
          </w:tcPr>
          <w:p>
            <w:pPr>
              <w:shd w:fill="DCE6EB"/>
            </w:pPr>
            <w:r>
              <w:rPr>
                <w:b/>
                <w:color w:val="15324A"/>
                <w:sz w:val="17"/>
              </w:rPr>
              <w:t>Forventes at ændres</w:t>
            </w:r>
          </w:p>
        </w:tc>
      </w:tr>
      <w:tr>
        <w:tc>
          <w:tcPr>
            <w:tcW w:type="dxa" w:w="4680"/>
            <w:tcMar>
              <w:top w:w="90" w:type="dxa"/>
              <w:start w:w="120" w:type="dxa"/>
              <w:bottom w:w="90" w:type="dxa"/>
              <w:end w:w="120" w:type="dxa"/>
            </w:tcMar>
            <w:vAlign w:val="center"/>
          </w:tcPr>
          <w:p>
            <w:pPr>
              <w:spacing w:after="0" w:line="259" w:lineRule="auto"/>
            </w:pPr>
            <w:r>
              <w:rPr>
                <w:sz w:val="17"/>
              </w:rPr>
              <w:t>Constitutionens kerne om værdighed, viden, proportionalitet, agency, korrigerbarhed, læring, retfærdighed og ansvar</w:t>
            </w:r>
          </w:p>
        </w:tc>
        <w:tc>
          <w:tcPr>
            <w:tcW w:type="dxa" w:w="4680"/>
            <w:tcMar>
              <w:top w:w="90" w:type="dxa"/>
              <w:start w:w="120" w:type="dxa"/>
              <w:bottom w:w="90" w:type="dxa"/>
              <w:end w:w="120" w:type="dxa"/>
            </w:tcMar>
            <w:vAlign w:val="center"/>
          </w:tcPr>
          <w:p>
            <w:pPr>
              <w:spacing w:after="0" w:line="259" w:lineRule="auto"/>
            </w:pPr>
            <w:r>
              <w:rPr>
                <w:sz w:val="17"/>
              </w:rPr>
              <w:t>Aktørnavne, juridiske roller og konkrete godkendelsesorganer</w:t>
            </w:r>
          </w:p>
        </w:tc>
      </w:tr>
      <w:tr>
        <w:tc>
          <w:tcPr>
            <w:tcW w:type="dxa" w:w="4680"/>
            <w:tcMar>
              <w:top w:w="90" w:type="dxa"/>
              <w:start w:w="120" w:type="dxa"/>
              <w:bottom w:w="90" w:type="dxa"/>
              <w:end w:w="120" w:type="dxa"/>
            </w:tcMar>
            <w:vAlign w:val="center"/>
          </w:tcPr>
          <w:p>
            <w:pPr>
              <w:shd w:fill="F7F9FA"/>
              <w:spacing w:after="0" w:line="259" w:lineRule="auto"/>
            </w:pPr>
            <w:r>
              <w:rPr>
                <w:sz w:val="17"/>
              </w:rPr>
              <w:t>Autoritetshierarkiet og forbuddet mod at lavere artefakter modsiger højere</w:t>
            </w:r>
          </w:p>
        </w:tc>
        <w:tc>
          <w:tcPr>
            <w:tcW w:type="dxa" w:w="4680"/>
            <w:tcMar>
              <w:top w:w="90" w:type="dxa"/>
              <w:start w:w="120" w:type="dxa"/>
              <w:bottom w:w="90" w:type="dxa"/>
              <w:end w:w="120" w:type="dxa"/>
            </w:tcMar>
            <w:vAlign w:val="center"/>
          </w:tcPr>
          <w:p>
            <w:pPr>
              <w:shd w:fill="F7F9FA"/>
              <w:spacing w:after="0" w:line="259" w:lineRule="auto"/>
            </w:pPr>
            <w:r>
              <w:rPr>
                <w:sz w:val="17"/>
              </w:rPr>
              <w:t>Dokumentformater, repositories og automatiseret policy-as-code</w:t>
            </w:r>
          </w:p>
        </w:tc>
      </w:tr>
      <w:tr>
        <w:tc>
          <w:tcPr>
            <w:tcW w:type="dxa" w:w="4680"/>
            <w:tcMar>
              <w:top w:w="90" w:type="dxa"/>
              <w:start w:w="120" w:type="dxa"/>
              <w:bottom w:w="90" w:type="dxa"/>
              <w:end w:w="120" w:type="dxa"/>
            </w:tcMar>
            <w:vAlign w:val="center"/>
          </w:tcPr>
          <w:p>
            <w:pPr>
              <w:spacing w:after="0" w:line="259" w:lineRule="auto"/>
            </w:pPr>
            <w:r>
              <w:rPr>
                <w:sz w:val="17"/>
              </w:rPr>
              <w:t>Sporbarhed fra problem til effekt og tilbage</w:t>
            </w:r>
          </w:p>
        </w:tc>
        <w:tc>
          <w:tcPr>
            <w:tcW w:type="dxa" w:w="4680"/>
            <w:tcMar>
              <w:top w:w="90" w:type="dxa"/>
              <w:start w:w="120" w:type="dxa"/>
              <w:bottom w:w="90" w:type="dxa"/>
              <w:end w:w="120" w:type="dxa"/>
            </w:tcMar>
            <w:vAlign w:val="center"/>
          </w:tcPr>
          <w:p>
            <w:pPr>
              <w:spacing w:after="0" w:line="259" w:lineRule="auto"/>
            </w:pPr>
            <w:r>
              <w:rPr>
                <w:sz w:val="17"/>
              </w:rPr>
              <w:t>Typer af modeller, interfaces og kliniske datastrukturer</w:t>
            </w:r>
          </w:p>
        </w:tc>
      </w:tr>
      <w:tr>
        <w:tc>
          <w:tcPr>
            <w:tcW w:type="dxa" w:w="4680"/>
            <w:tcMar>
              <w:top w:w="90" w:type="dxa"/>
              <w:start w:w="120" w:type="dxa"/>
              <w:bottom w:w="90" w:type="dxa"/>
              <w:end w:w="120" w:type="dxa"/>
            </w:tcMar>
            <w:vAlign w:val="center"/>
          </w:tcPr>
          <w:p>
            <w:pPr>
              <w:shd w:fill="F7F9FA"/>
              <w:spacing w:after="0" w:line="259" w:lineRule="auto"/>
            </w:pPr>
            <w:r>
              <w:rPr>
                <w:sz w:val="17"/>
              </w:rPr>
              <w:t>Krav om safety case, evaluering, monitorering og rollback proportional med risiko</w:t>
            </w:r>
          </w:p>
        </w:tc>
        <w:tc>
          <w:tcPr>
            <w:tcW w:type="dxa" w:w="4680"/>
            <w:tcMar>
              <w:top w:w="90" w:type="dxa"/>
              <w:start w:w="120" w:type="dxa"/>
              <w:bottom w:w="90" w:type="dxa"/>
              <w:end w:w="120" w:type="dxa"/>
            </w:tcMar>
            <w:vAlign w:val="center"/>
          </w:tcPr>
          <w:p>
            <w:pPr>
              <w:shd w:fill="F7F9FA"/>
              <w:spacing w:after="0" w:line="259" w:lineRule="auto"/>
            </w:pPr>
            <w:r>
              <w:rPr>
                <w:sz w:val="17"/>
              </w:rPr>
              <w:t>Specifikke metrics, tærskler og evalueringsmetoder</w:t>
            </w:r>
          </w:p>
        </w:tc>
      </w:tr>
      <w:tr>
        <w:tc>
          <w:tcPr>
            <w:tcW w:type="dxa" w:w="4680"/>
            <w:tcMar>
              <w:top w:w="90" w:type="dxa"/>
              <w:start w:w="120" w:type="dxa"/>
              <w:bottom w:w="90" w:type="dxa"/>
              <w:end w:w="120" w:type="dxa"/>
            </w:tcMar>
            <w:vAlign w:val="center"/>
          </w:tcPr>
          <w:p>
            <w:pPr>
              <w:spacing w:after="0" w:line="259" w:lineRule="auto"/>
            </w:pPr>
            <w:r>
              <w:rPr>
                <w:sz w:val="17"/>
              </w:rPr>
              <w:t>Behovet for uafhængig kritik, patientindflydelse og synlig dissens</w:t>
            </w:r>
          </w:p>
        </w:tc>
        <w:tc>
          <w:tcPr>
            <w:tcW w:type="dxa" w:w="4680"/>
            <w:tcMar>
              <w:top w:w="90" w:type="dxa"/>
              <w:start w:w="120" w:type="dxa"/>
              <w:bottom w:w="90" w:type="dxa"/>
              <w:end w:w="120" w:type="dxa"/>
            </w:tcMar>
            <w:vAlign w:val="center"/>
          </w:tcPr>
          <w:p>
            <w:pPr>
              <w:spacing w:after="0" w:line="259" w:lineRule="auto"/>
            </w:pPr>
            <w:r>
              <w:rPr>
                <w:sz w:val="17"/>
              </w:rPr>
              <w:t>Hvordan mennesker og autonome systemer deler beslutningsmyndighed</w:t>
            </w:r>
          </w:p>
        </w:tc>
      </w:tr>
      <w:tr>
        <w:tc>
          <w:tcPr>
            <w:tcW w:type="dxa" w:w="4680"/>
            <w:tcMar>
              <w:top w:w="90" w:type="dxa"/>
              <w:start w:w="120" w:type="dxa"/>
              <w:bottom w:w="90" w:type="dxa"/>
              <w:end w:w="120" w:type="dxa"/>
            </w:tcMar>
            <w:vAlign w:val="center"/>
          </w:tcPr>
          <w:p>
            <w:pPr>
              <w:shd w:fill="F7F9FA"/>
              <w:spacing w:after="0" w:line="259" w:lineRule="auto"/>
            </w:pPr>
            <w:r>
              <w:rPr>
                <w:sz w:val="17"/>
              </w:rPr>
              <w:t>Hændelseslæring og revision over hele livscyklussen</w:t>
            </w:r>
          </w:p>
        </w:tc>
        <w:tc>
          <w:tcPr>
            <w:tcW w:type="dxa" w:w="4680"/>
            <w:tcMar>
              <w:top w:w="90" w:type="dxa"/>
              <w:start w:w="120" w:type="dxa"/>
              <w:bottom w:w="90" w:type="dxa"/>
              <w:end w:w="120" w:type="dxa"/>
            </w:tcMar>
            <w:vAlign w:val="center"/>
          </w:tcPr>
          <w:p>
            <w:pPr>
              <w:shd w:fill="F7F9FA"/>
              <w:spacing w:after="0" w:line="259" w:lineRule="auto"/>
            </w:pPr>
            <w:r>
              <w:rPr>
                <w:sz w:val="17"/>
              </w:rPr>
              <w:t>Releasebegrebet, hvis systemer bliver kontinuerligt adaptive</w:t>
            </w:r>
          </w:p>
        </w:tc>
      </w:tr>
    </w:tbl>
    <w:p>
      <w:pPr>
        <w:spacing w:after="0"/>
      </w:pPr>
    </w:p>
    <w:p>
      <w:r>
        <w:rPr>
          <w:rFonts w:ascii="Calibri" w:hAnsi="Calibri"/>
          <w:i w:val="0"/>
          <w:sz w:val="22"/>
        </w:rPr>
        <w:t>Frameworket bør derfor bevare funktionerne - legitimation, sporbarhed, magtdeling, sikkerhedsargument, læring og korrektion - selv hvis dokumentnavne og organisatoriske former ændres.</w:t>
      </w:r>
    </w:p>
    <w:p>
      <w:r>
        <w:br w:type="page"/>
      </w:r>
    </w:p>
    <w:p>
      <w:pPr>
        <w:spacing w:after="60"/>
      </w:pPr>
      <w:r>
        <w:rPr>
          <w:b/>
          <w:color w:val="667085"/>
          <w:sz w:val="18"/>
        </w:rPr>
        <w:t>DE FØRSTE 180 DAGE</w:t>
      </w:r>
    </w:p>
    <w:p>
      <w:pPr>
        <w:pStyle w:val="Heading1"/>
      </w:pPr>
      <w:r>
        <w:t>24. Implementeringsplan</w:t>
      </w:r>
    </w:p>
    <w:tbl>
      <w:tblPr>
        <w:tblW w:type="dxa" w:w="9360"/>
        <w:jc w:val="left"/>
        <w:tblLayout w:type="fixed"/>
        <w:tblLook w:firstColumn="1" w:firstRow="1" w:lastColumn="0" w:lastRow="0" w:noHBand="0" w:noVBand="1" w:val="04A0"/>
        <w:tblInd w:w="120" w:type="dxa"/>
      </w:tblPr>
      <w:tblGrid>
        <w:gridCol w:w="1440"/>
        <w:gridCol w:w="5400"/>
        <w:gridCol w:w="2520"/>
      </w:tblGrid>
      <w:tr>
        <w:trPr>
          <w:tblHeader/>
        </w:trPr>
        <w:tc>
          <w:tcPr>
            <w:tcW w:type="dxa" w:w="1440"/>
            <w:tcMar>
              <w:top w:w="90" w:type="dxa"/>
              <w:start w:w="120" w:type="dxa"/>
              <w:bottom w:w="90" w:type="dxa"/>
              <w:end w:w="120" w:type="dxa"/>
            </w:tcMar>
            <w:vAlign w:val="center"/>
          </w:tcPr>
          <w:p>
            <w:pPr>
              <w:shd w:fill="DCE6EB"/>
            </w:pPr>
            <w:r>
              <w:rPr>
                <w:b/>
                <w:color w:val="15324A"/>
                <w:sz w:val="16"/>
              </w:rPr>
              <w:t>Periode</w:t>
            </w:r>
          </w:p>
        </w:tc>
        <w:tc>
          <w:tcPr>
            <w:tcW w:type="dxa" w:w="5400"/>
            <w:tcMar>
              <w:top w:w="90" w:type="dxa"/>
              <w:start w:w="120" w:type="dxa"/>
              <w:bottom w:w="90" w:type="dxa"/>
              <w:end w:w="120" w:type="dxa"/>
            </w:tcMar>
            <w:vAlign w:val="center"/>
          </w:tcPr>
          <w:p>
            <w:pPr>
              <w:shd w:fill="DCE6EB"/>
            </w:pPr>
            <w:r>
              <w:rPr>
                <w:b/>
                <w:color w:val="15324A"/>
                <w:sz w:val="16"/>
              </w:rPr>
              <w:t>Leverancer</w:t>
            </w:r>
          </w:p>
        </w:tc>
        <w:tc>
          <w:tcPr>
            <w:tcW w:type="dxa" w:w="2520"/>
            <w:tcMar>
              <w:top w:w="90" w:type="dxa"/>
              <w:start w:w="120" w:type="dxa"/>
              <w:bottom w:w="90" w:type="dxa"/>
              <w:end w:w="120" w:type="dxa"/>
            </w:tcMar>
            <w:vAlign w:val="center"/>
          </w:tcPr>
          <w:p>
            <w:pPr>
              <w:shd w:fill="DCE6EB"/>
            </w:pPr>
            <w:r>
              <w:rPr>
                <w:b/>
                <w:color w:val="15324A"/>
                <w:sz w:val="16"/>
              </w:rPr>
              <w:t>Exit-kriterium</w:t>
            </w:r>
          </w:p>
        </w:tc>
      </w:tr>
      <w:tr>
        <w:tc>
          <w:tcPr>
            <w:tcW w:type="dxa" w:w="1440"/>
            <w:tcMar>
              <w:top w:w="90" w:type="dxa"/>
              <w:start w:w="120" w:type="dxa"/>
              <w:bottom w:w="90" w:type="dxa"/>
              <w:end w:w="120" w:type="dxa"/>
            </w:tcMar>
            <w:vAlign w:val="center"/>
          </w:tcPr>
          <w:p>
            <w:pPr>
              <w:spacing w:after="0" w:line="259" w:lineRule="auto"/>
            </w:pPr>
            <w:r>
              <w:rPr>
                <w:sz w:val="16"/>
              </w:rPr>
              <w:t>Dag 0–30</w:t>
            </w:r>
          </w:p>
        </w:tc>
        <w:tc>
          <w:tcPr>
            <w:tcW w:type="dxa" w:w="5400"/>
            <w:tcMar>
              <w:top w:w="90" w:type="dxa"/>
              <w:start w:w="120" w:type="dxa"/>
              <w:bottom w:w="90" w:type="dxa"/>
              <w:end w:w="120" w:type="dxa"/>
            </w:tcMar>
            <w:vAlign w:val="center"/>
          </w:tcPr>
          <w:p>
            <w:pPr>
              <w:spacing w:after="0" w:line="259" w:lineRule="auto"/>
            </w:pPr>
            <w:r>
              <w:rPr>
                <w:sz w:val="16"/>
              </w:rPr>
              <w:t>Ratificér Framework og Constitution; udpeg interimorganer; opret registry og ID-standard</w:t>
            </w:r>
          </w:p>
        </w:tc>
        <w:tc>
          <w:tcPr>
            <w:tcW w:type="dxa" w:w="2520"/>
            <w:tcMar>
              <w:top w:w="90" w:type="dxa"/>
              <w:start w:w="120" w:type="dxa"/>
              <w:bottom w:w="90" w:type="dxa"/>
              <w:end w:w="120" w:type="dxa"/>
            </w:tcMar>
            <w:vAlign w:val="center"/>
          </w:tcPr>
          <w:p>
            <w:pPr>
              <w:spacing w:after="0" w:line="259" w:lineRule="auto"/>
            </w:pPr>
            <w:r>
              <w:rPr>
                <w:sz w:val="16"/>
              </w:rPr>
              <w:t>Alle aktive normative dokumenter registreret med ejer/status</w:t>
            </w:r>
          </w:p>
        </w:tc>
      </w:tr>
      <w:tr>
        <w:tc>
          <w:tcPr>
            <w:tcW w:type="dxa" w:w="1440"/>
            <w:tcMar>
              <w:top w:w="90" w:type="dxa"/>
              <w:start w:w="120" w:type="dxa"/>
              <w:bottom w:w="90" w:type="dxa"/>
              <w:end w:w="120" w:type="dxa"/>
            </w:tcMar>
            <w:vAlign w:val="center"/>
          </w:tcPr>
          <w:p>
            <w:pPr>
              <w:shd w:fill="F7F9FA"/>
              <w:spacing w:after="0" w:line="259" w:lineRule="auto"/>
            </w:pPr>
            <w:r>
              <w:rPr>
                <w:sz w:val="16"/>
              </w:rPr>
              <w:t>Dag 31–60</w:t>
            </w:r>
          </w:p>
        </w:tc>
        <w:tc>
          <w:tcPr>
            <w:tcW w:type="dxa" w:w="5400"/>
            <w:tcMar>
              <w:top w:w="90" w:type="dxa"/>
              <w:start w:w="120" w:type="dxa"/>
              <w:bottom w:w="90" w:type="dxa"/>
              <w:end w:w="120" w:type="dxa"/>
            </w:tcMar>
            <w:vAlign w:val="center"/>
          </w:tcPr>
          <w:p>
            <w:pPr>
              <w:shd w:fill="F7F9FA"/>
              <w:spacing w:after="0" w:line="259" w:lineRule="auto"/>
            </w:pPr>
            <w:r>
              <w:rPr>
                <w:sz w:val="16"/>
              </w:rPr>
              <w:t>Opret LEX; prioriter 6 Position Papers; definér risk classification og Safety Case template</w:t>
            </w:r>
          </w:p>
        </w:tc>
        <w:tc>
          <w:tcPr>
            <w:tcW w:type="dxa" w:w="2520"/>
            <w:tcMar>
              <w:top w:w="90" w:type="dxa"/>
              <w:start w:w="120" w:type="dxa"/>
              <w:bottom w:w="90" w:type="dxa"/>
              <w:end w:w="120" w:type="dxa"/>
            </w:tcMar>
            <w:vAlign w:val="center"/>
          </w:tcPr>
          <w:p>
            <w:pPr>
              <w:shd w:fill="F7F9FA"/>
              <w:spacing w:after="0" w:line="259" w:lineRule="auto"/>
            </w:pPr>
            <w:r>
              <w:rPr>
                <w:sz w:val="16"/>
              </w:rPr>
              <w:t>Fælles begreber og gatekrav godkendt</w:t>
            </w:r>
          </w:p>
        </w:tc>
      </w:tr>
      <w:tr>
        <w:tc>
          <w:tcPr>
            <w:tcW w:type="dxa" w:w="1440"/>
            <w:tcMar>
              <w:top w:w="90" w:type="dxa"/>
              <w:start w:w="120" w:type="dxa"/>
              <w:bottom w:w="90" w:type="dxa"/>
              <w:end w:w="120" w:type="dxa"/>
            </w:tcMar>
            <w:vAlign w:val="center"/>
          </w:tcPr>
          <w:p>
            <w:pPr>
              <w:spacing w:after="0" w:line="259" w:lineRule="auto"/>
            </w:pPr>
            <w:r>
              <w:rPr>
                <w:sz w:val="16"/>
              </w:rPr>
              <w:t>Dag 61–90</w:t>
            </w:r>
          </w:p>
        </w:tc>
        <w:tc>
          <w:tcPr>
            <w:tcW w:type="dxa" w:w="5400"/>
            <w:tcMar>
              <w:top w:w="90" w:type="dxa"/>
              <w:start w:w="120" w:type="dxa"/>
              <w:bottom w:w="90" w:type="dxa"/>
              <w:end w:w="120" w:type="dxa"/>
            </w:tcMar>
            <w:vAlign w:val="center"/>
          </w:tcPr>
          <w:p>
            <w:pPr>
              <w:spacing w:after="0" w:line="259" w:lineRule="auto"/>
            </w:pPr>
            <w:r>
              <w:rPr>
                <w:sz w:val="16"/>
              </w:rPr>
              <w:t>Baseline Design Principles og ADR inventory; pilotér traceability på én højrisiko-use case</w:t>
            </w:r>
          </w:p>
        </w:tc>
        <w:tc>
          <w:tcPr>
            <w:tcW w:type="dxa" w:w="2520"/>
            <w:tcMar>
              <w:top w:w="90" w:type="dxa"/>
              <w:start w:w="120" w:type="dxa"/>
              <w:bottom w:w="90" w:type="dxa"/>
              <w:end w:w="120" w:type="dxa"/>
            </w:tcMar>
            <w:vAlign w:val="center"/>
          </w:tcPr>
          <w:p>
            <w:pPr>
              <w:spacing w:after="0" w:line="259" w:lineRule="auto"/>
            </w:pPr>
            <w:r>
              <w:rPr>
                <w:sz w:val="16"/>
              </w:rPr>
              <w:t>Ubrudt chain fra CON til PRD demonstreret</w:t>
            </w:r>
          </w:p>
        </w:tc>
      </w:tr>
      <w:tr>
        <w:tc>
          <w:tcPr>
            <w:tcW w:type="dxa" w:w="1440"/>
            <w:tcMar>
              <w:top w:w="90" w:type="dxa"/>
              <w:start w:w="120" w:type="dxa"/>
              <w:bottom w:w="90" w:type="dxa"/>
              <w:end w:w="120" w:type="dxa"/>
            </w:tcMar>
            <w:vAlign w:val="center"/>
          </w:tcPr>
          <w:p>
            <w:pPr>
              <w:shd w:fill="F7F9FA"/>
              <w:spacing w:after="0" w:line="259" w:lineRule="auto"/>
            </w:pPr>
            <w:r>
              <w:rPr>
                <w:sz w:val="16"/>
              </w:rPr>
              <w:t>Dag 91–120</w:t>
            </w:r>
          </w:p>
        </w:tc>
        <w:tc>
          <w:tcPr>
            <w:tcW w:type="dxa" w:w="5400"/>
            <w:tcMar>
              <w:top w:w="90" w:type="dxa"/>
              <w:start w:w="120" w:type="dxa"/>
              <w:bottom w:w="90" w:type="dxa"/>
              <w:end w:w="120" w:type="dxa"/>
            </w:tcMar>
            <w:vAlign w:val="center"/>
          </w:tcPr>
          <w:p>
            <w:pPr>
              <w:shd w:fill="F7F9FA"/>
              <w:spacing w:after="0" w:line="259" w:lineRule="auto"/>
            </w:pPr>
            <w:r>
              <w:rPr>
                <w:sz w:val="16"/>
              </w:rPr>
              <w:t>Evaluation Protocol, Release Dossier og ILR-processer; etabler metrics og stopret</w:t>
            </w:r>
          </w:p>
        </w:tc>
        <w:tc>
          <w:tcPr>
            <w:tcW w:type="dxa" w:w="2520"/>
            <w:tcMar>
              <w:top w:w="90" w:type="dxa"/>
              <w:start w:w="120" w:type="dxa"/>
              <w:bottom w:w="90" w:type="dxa"/>
              <w:end w:w="120" w:type="dxa"/>
            </w:tcMar>
            <w:vAlign w:val="center"/>
          </w:tcPr>
          <w:p>
            <w:pPr>
              <w:shd w:fill="F7F9FA"/>
              <w:spacing w:after="0" w:line="259" w:lineRule="auto"/>
            </w:pPr>
            <w:r>
              <w:rPr>
                <w:sz w:val="16"/>
              </w:rPr>
              <w:t>Første governance-gated release gennemført</w:t>
            </w:r>
          </w:p>
        </w:tc>
      </w:tr>
      <w:tr>
        <w:tc>
          <w:tcPr>
            <w:tcW w:type="dxa" w:w="1440"/>
            <w:tcMar>
              <w:top w:w="90" w:type="dxa"/>
              <w:start w:w="120" w:type="dxa"/>
              <w:bottom w:w="90" w:type="dxa"/>
              <w:end w:w="120" w:type="dxa"/>
            </w:tcMar>
            <w:vAlign w:val="center"/>
          </w:tcPr>
          <w:p>
            <w:pPr>
              <w:spacing w:after="0" w:line="259" w:lineRule="auto"/>
            </w:pPr>
            <w:r>
              <w:rPr>
                <w:sz w:val="16"/>
              </w:rPr>
              <w:t>Dag 121–180</w:t>
            </w:r>
          </w:p>
        </w:tc>
        <w:tc>
          <w:tcPr>
            <w:tcW w:type="dxa" w:w="5400"/>
            <w:tcMar>
              <w:top w:w="90" w:type="dxa"/>
              <w:start w:w="120" w:type="dxa"/>
              <w:bottom w:w="90" w:type="dxa"/>
              <w:end w:w="120" w:type="dxa"/>
            </w:tcMar>
            <w:vAlign w:val="center"/>
          </w:tcPr>
          <w:p>
            <w:pPr>
              <w:spacing w:after="0" w:line="259" w:lineRule="auto"/>
            </w:pPr>
            <w:r>
              <w:rPr>
                <w:sz w:val="16"/>
              </w:rPr>
              <w:t>Uafhængig audit, patientpanel, tabletop incident og maturity review</w:t>
            </w:r>
          </w:p>
        </w:tc>
        <w:tc>
          <w:tcPr>
            <w:tcW w:type="dxa" w:w="2520"/>
            <w:tcMar>
              <w:top w:w="90" w:type="dxa"/>
              <w:start w:w="120" w:type="dxa"/>
              <w:bottom w:w="90" w:type="dxa"/>
              <w:end w:w="120" w:type="dxa"/>
            </w:tcMar>
            <w:vAlign w:val="center"/>
          </w:tcPr>
          <w:p>
            <w:pPr>
              <w:spacing w:after="0" w:line="259" w:lineRule="auto"/>
            </w:pPr>
            <w:r>
              <w:rPr>
                <w:sz w:val="16"/>
              </w:rPr>
              <w:t>Fundne huller rettet; v1.1 backlog ratificeret</w:t>
            </w:r>
          </w:p>
        </w:tc>
      </w:tr>
    </w:tbl>
    <w:p>
      <w:pPr>
        <w:spacing w:after="0"/>
      </w:pPr>
    </w:p>
    <w:p>
      <w:pPr>
        <w:pStyle w:val="Heading2"/>
      </w:pPr>
      <w:r>
        <w:t>Første seks Position Papers</w:t>
      </w:r>
    </w:p>
    <w:p>
      <w:pPr>
        <w:pStyle w:val="ListNumber"/>
        <w:spacing w:after="80" w:line="300" w:lineRule="auto"/>
      </w:pPr>
      <w:r>
        <w:t>PP-001 Epistemisk integritet og evidens.</w:t>
      </w:r>
    </w:p>
    <w:p>
      <w:pPr>
        <w:pStyle w:val="ListNumber"/>
        <w:spacing w:after="80" w:line="300" w:lineRule="auto"/>
      </w:pPr>
      <w:r>
        <w:t>PP-002 Usikkerhed og kalibrering.</w:t>
      </w:r>
    </w:p>
    <w:p>
      <w:pPr>
        <w:pStyle w:val="ListNumber"/>
        <w:spacing w:after="80" w:line="300" w:lineRule="auto"/>
      </w:pPr>
      <w:r>
        <w:t>PP-003 Legitim autonomi, delegation og human control.</w:t>
      </w:r>
    </w:p>
    <w:p>
      <w:pPr>
        <w:pStyle w:val="ListNumber"/>
        <w:spacing w:after="80" w:line="300" w:lineRule="auto"/>
      </w:pPr>
      <w:r>
        <w:t>PP-004 Opmærksomhed, proportionalitet og intervention.</w:t>
      </w:r>
    </w:p>
    <w:p>
      <w:pPr>
        <w:pStyle w:val="ListNumber"/>
        <w:spacing w:after="80" w:line="300" w:lineRule="auto"/>
      </w:pPr>
      <w:r>
        <w:t>PP-005 Kompetencebevarelse og læring.</w:t>
      </w:r>
    </w:p>
    <w:p>
      <w:pPr>
        <w:pStyle w:val="ListNumber"/>
        <w:spacing w:after="80" w:line="300" w:lineRule="auto"/>
      </w:pPr>
      <w:r>
        <w:t>PP-006 Organisatorisk ansvar, retfærdighed og patientperspektiv.</w:t>
      </w:r>
    </w:p>
    <w:p>
      <w:r>
        <w:br w:type="page"/>
      </w:r>
    </w:p>
    <w:p>
      <w:pPr>
        <w:spacing w:after="60"/>
      </w:pPr>
      <w:r>
        <w:rPr>
          <w:b/>
          <w:color w:val="667085"/>
          <w:sz w:val="18"/>
        </w:rPr>
        <w:t>DET MINDSTE SYSTEM, DER STADIG VIRKER</w:t>
      </w:r>
    </w:p>
    <w:p>
      <w:pPr>
        <w:pStyle w:val="Heading1"/>
      </w:pPr>
      <w:r>
        <w:t>25. Minimum viable governance</w:t>
      </w:r>
    </w:p>
    <w:p>
      <w:r>
        <w:rPr>
          <w:rFonts w:ascii="Calibri" w:hAnsi="Calibri"/>
          <w:i w:val="0"/>
          <w:sz w:val="22"/>
        </w:rPr>
        <w:t>Hvis Cortex ikke kan etablere hele frameworket straks, er følgende minimum ufravigeligt for en klinisk betydende release:</w:t>
      </w:r>
    </w:p>
    <w:p>
      <w:pPr>
        <w:pStyle w:val="ListNumber"/>
        <w:spacing w:after="80" w:line="300" w:lineRule="auto"/>
      </w:pPr>
      <w:r>
        <w:t>Ratificeret Constitution og navngiven Constitution owner.</w:t>
      </w:r>
    </w:p>
    <w:p>
      <w:pPr>
        <w:pStyle w:val="ListNumber"/>
        <w:spacing w:after="80" w:line="300" w:lineRule="auto"/>
      </w:pPr>
      <w:r>
        <w:t>Relevant Position Paper eller dokumenteret normfortolkning.</w:t>
      </w:r>
    </w:p>
    <w:p>
      <w:pPr>
        <w:pStyle w:val="ListNumber"/>
        <w:spacing w:after="80" w:line="300" w:lineRule="auto"/>
      </w:pPr>
      <w:r>
        <w:t>Et godkendt Design Principle eller eksplicit begrundet undtagelse.</w:t>
      </w:r>
    </w:p>
    <w:p>
      <w:pPr>
        <w:pStyle w:val="ListNumber"/>
        <w:spacing w:after="80" w:line="300" w:lineRule="auto"/>
      </w:pPr>
      <w:r>
        <w:t>ADR med alternativer, reversibilitet og review-trigger.</w:t>
      </w:r>
    </w:p>
    <w:p>
      <w:pPr>
        <w:pStyle w:val="ListNumber"/>
        <w:spacing w:after="80" w:line="300" w:lineRule="auto"/>
      </w:pPr>
      <w:r>
        <w:t>Testbare Product Requirements.</w:t>
      </w:r>
    </w:p>
    <w:p>
      <w:pPr>
        <w:pStyle w:val="ListNumber"/>
        <w:spacing w:after="80" w:line="300" w:lineRule="auto"/>
      </w:pPr>
      <w:r>
        <w:t>Risikoproportionel Clinical Safety Case og Evaluation Protocol.</w:t>
      </w:r>
    </w:p>
    <w:p>
      <w:pPr>
        <w:pStyle w:val="ListNumber"/>
        <w:spacing w:after="80" w:line="300" w:lineRule="auto"/>
      </w:pPr>
      <w:r>
        <w:t>Release Dossier med versioner, residualrisiko, monitorering, ejer og rollback.</w:t>
      </w:r>
    </w:p>
    <w:p>
      <w:pPr>
        <w:pStyle w:val="ListNumber"/>
        <w:spacing w:after="80" w:line="300" w:lineRule="auto"/>
      </w:pPr>
      <w:r>
        <w:t>Incident &amp; Learning Record-kanal med defineret responstid.</w:t>
      </w:r>
    </w:p>
    <w:p>
      <w:pPr>
        <w:spacing w:before="100" w:after="180"/>
        <w:ind w:left="173" w:right="173"/>
        <w:shd w:fill="FCE8E6"/>
      </w:pPr>
      <w:r>
        <w:rPr>
          <w:b/>
          <w:color w:val="9B2C2C"/>
        </w:rPr>
        <w:t xml:space="preserve">Ikke-forhandlingsbart: </w:t>
      </w:r>
      <w:r>
        <w:t>‘Vi er stadig små’ er ikke en undtagelse fra klinisk ansvar. Små organisationer kan reducere procesomfanget, men ikke fjerne beskyttelsesfunktionerne.</w:t>
      </w:r>
    </w:p>
    <w:p>
      <w:r>
        <w:br w:type="page"/>
      </w:r>
    </w:p>
    <w:p>
      <w:pPr>
        <w:spacing w:after="60"/>
      </w:pPr>
      <w:r>
        <w:rPr>
          <w:b/>
          <w:color w:val="667085"/>
          <w:sz w:val="18"/>
        </w:rPr>
        <w:t>MÅL GOVERNANCE PÅ ADFÆRD</w:t>
      </w:r>
    </w:p>
    <w:p>
      <w:pPr>
        <w:pStyle w:val="Heading1"/>
      </w:pPr>
      <w:r>
        <w:t>26. Framework health metrics</w:t>
      </w:r>
    </w:p>
    <w:tbl>
      <w:tblPr>
        <w:tblW w:type="dxa" w:w="9360"/>
        <w:jc w:val="left"/>
        <w:tblLayout w:type="fixed"/>
        <w:tblLook w:firstColumn="1" w:firstRow="1" w:lastColumn="0" w:lastRow="0" w:noHBand="0" w:noVBand="1" w:val="04A0"/>
        <w:tblInd w:w="120" w:type="dxa"/>
      </w:tblPr>
      <w:tblGrid>
        <w:gridCol w:w="1800"/>
        <w:gridCol w:w="4032"/>
        <w:gridCol w:w="3528"/>
      </w:tblGrid>
      <w:tr>
        <w:trPr>
          <w:tblHeader/>
        </w:trPr>
        <w:tc>
          <w:tcPr>
            <w:tcW w:type="dxa" w:w="1800"/>
            <w:tcMar>
              <w:top w:w="90" w:type="dxa"/>
              <w:start w:w="120" w:type="dxa"/>
              <w:bottom w:w="90" w:type="dxa"/>
              <w:end w:w="120" w:type="dxa"/>
            </w:tcMar>
            <w:vAlign w:val="center"/>
          </w:tcPr>
          <w:p>
            <w:pPr>
              <w:shd w:fill="DCE6EB"/>
            </w:pPr>
            <w:r>
              <w:rPr>
                <w:b/>
                <w:color w:val="15324A"/>
                <w:sz w:val="16"/>
              </w:rPr>
              <w:t>Dimension</w:t>
            </w:r>
          </w:p>
        </w:tc>
        <w:tc>
          <w:tcPr>
            <w:tcW w:type="dxa" w:w="4032"/>
            <w:tcMar>
              <w:top w:w="90" w:type="dxa"/>
              <w:start w:w="120" w:type="dxa"/>
              <w:bottom w:w="90" w:type="dxa"/>
              <w:end w:w="120" w:type="dxa"/>
            </w:tcMar>
            <w:vAlign w:val="center"/>
          </w:tcPr>
          <w:p>
            <w:pPr>
              <w:shd w:fill="DCE6EB"/>
            </w:pPr>
            <w:r>
              <w:rPr>
                <w:b/>
                <w:color w:val="15324A"/>
                <w:sz w:val="16"/>
              </w:rPr>
              <w:t>Indikator</w:t>
            </w:r>
          </w:p>
        </w:tc>
        <w:tc>
          <w:tcPr>
            <w:tcW w:type="dxa" w:w="3528"/>
            <w:tcMar>
              <w:top w:w="90" w:type="dxa"/>
              <w:start w:w="120" w:type="dxa"/>
              <w:bottom w:w="90" w:type="dxa"/>
              <w:end w:w="120" w:type="dxa"/>
            </w:tcMar>
            <w:vAlign w:val="center"/>
          </w:tcPr>
          <w:p>
            <w:pPr>
              <w:shd w:fill="DCE6EB"/>
            </w:pPr>
            <w:r>
              <w:rPr>
                <w:b/>
                <w:color w:val="15324A"/>
                <w:sz w:val="16"/>
              </w:rPr>
              <w:t>Faresignal</w:t>
            </w:r>
          </w:p>
        </w:tc>
      </w:tr>
      <w:tr>
        <w:tc>
          <w:tcPr>
            <w:tcW w:type="dxa" w:w="1800"/>
            <w:tcMar>
              <w:top w:w="90" w:type="dxa"/>
              <w:start w:w="120" w:type="dxa"/>
              <w:bottom w:w="90" w:type="dxa"/>
              <w:end w:w="120" w:type="dxa"/>
            </w:tcMar>
            <w:vAlign w:val="center"/>
          </w:tcPr>
          <w:p>
            <w:pPr>
              <w:spacing w:after="0" w:line="259" w:lineRule="auto"/>
            </w:pPr>
            <w:r>
              <w:rPr>
                <w:sz w:val="16"/>
              </w:rPr>
              <w:t>Sporbarhed</w:t>
            </w:r>
          </w:p>
        </w:tc>
        <w:tc>
          <w:tcPr>
            <w:tcW w:type="dxa" w:w="4032"/>
            <w:tcMar>
              <w:top w:w="90" w:type="dxa"/>
              <w:start w:w="120" w:type="dxa"/>
              <w:bottom w:w="90" w:type="dxa"/>
              <w:end w:w="120" w:type="dxa"/>
            </w:tcMar>
            <w:vAlign w:val="center"/>
          </w:tcPr>
          <w:p>
            <w:pPr>
              <w:spacing w:after="0" w:line="259" w:lineRule="auto"/>
            </w:pPr>
            <w:r>
              <w:rPr>
                <w:sz w:val="16"/>
              </w:rPr>
              <w:t>Andel højrisikokrav med komplet op- og nedstrømskæde</w:t>
            </w:r>
          </w:p>
        </w:tc>
        <w:tc>
          <w:tcPr>
            <w:tcW w:type="dxa" w:w="3528"/>
            <w:tcMar>
              <w:top w:w="90" w:type="dxa"/>
              <w:start w:w="120" w:type="dxa"/>
              <w:bottom w:w="90" w:type="dxa"/>
              <w:end w:w="120" w:type="dxa"/>
            </w:tcMar>
            <w:vAlign w:val="center"/>
          </w:tcPr>
          <w:p>
            <w:pPr>
              <w:spacing w:after="0" w:line="259" w:lineRule="auto"/>
            </w:pPr>
            <w:r>
              <w:rPr>
                <w:sz w:val="16"/>
              </w:rPr>
              <w:t>Links findes kun på papir eller er forældede</w:t>
            </w:r>
          </w:p>
        </w:tc>
      </w:tr>
      <w:tr>
        <w:tc>
          <w:tcPr>
            <w:tcW w:type="dxa" w:w="1800"/>
            <w:tcMar>
              <w:top w:w="90" w:type="dxa"/>
              <w:start w:w="120" w:type="dxa"/>
              <w:bottom w:w="90" w:type="dxa"/>
              <w:end w:w="120" w:type="dxa"/>
            </w:tcMar>
            <w:vAlign w:val="center"/>
          </w:tcPr>
          <w:p>
            <w:pPr>
              <w:shd w:fill="F7F9FA"/>
              <w:spacing w:after="0" w:line="259" w:lineRule="auto"/>
            </w:pPr>
            <w:r>
              <w:rPr>
                <w:sz w:val="16"/>
              </w:rPr>
              <w:t>Uafhængighed</w:t>
            </w:r>
          </w:p>
        </w:tc>
        <w:tc>
          <w:tcPr>
            <w:tcW w:type="dxa" w:w="4032"/>
            <w:tcMar>
              <w:top w:w="90" w:type="dxa"/>
              <w:start w:w="120" w:type="dxa"/>
              <w:bottom w:w="90" w:type="dxa"/>
              <w:end w:w="120" w:type="dxa"/>
            </w:tcMar>
            <w:vAlign w:val="center"/>
          </w:tcPr>
          <w:p>
            <w:pPr>
              <w:shd w:fill="F7F9FA"/>
              <w:spacing w:after="0" w:line="259" w:lineRule="auto"/>
            </w:pPr>
            <w:r>
              <w:rPr>
                <w:sz w:val="16"/>
              </w:rPr>
              <w:t>Andel safety objections løst før release; stoprettens brug</w:t>
            </w:r>
          </w:p>
        </w:tc>
        <w:tc>
          <w:tcPr>
            <w:tcW w:type="dxa" w:w="3528"/>
            <w:tcMar>
              <w:top w:w="90" w:type="dxa"/>
              <w:start w:w="120" w:type="dxa"/>
              <w:bottom w:w="90" w:type="dxa"/>
              <w:end w:w="120" w:type="dxa"/>
            </w:tcMar>
            <w:vAlign w:val="center"/>
          </w:tcPr>
          <w:p>
            <w:pPr>
              <w:shd w:fill="F7F9FA"/>
              <w:spacing w:after="0" w:line="259" w:lineRule="auto"/>
            </w:pPr>
            <w:r>
              <w:rPr>
                <w:sz w:val="16"/>
              </w:rPr>
              <w:t>Ingen dissens over lang tid</w:t>
            </w:r>
          </w:p>
        </w:tc>
      </w:tr>
      <w:tr>
        <w:tc>
          <w:tcPr>
            <w:tcW w:type="dxa" w:w="1800"/>
            <w:tcMar>
              <w:top w:w="90" w:type="dxa"/>
              <w:start w:w="120" w:type="dxa"/>
              <w:bottom w:w="90" w:type="dxa"/>
              <w:end w:w="120" w:type="dxa"/>
            </w:tcMar>
            <w:vAlign w:val="center"/>
          </w:tcPr>
          <w:p>
            <w:pPr>
              <w:spacing w:after="0" w:line="259" w:lineRule="auto"/>
            </w:pPr>
            <w:r>
              <w:rPr>
                <w:sz w:val="16"/>
              </w:rPr>
              <w:t>Læring</w:t>
            </w:r>
          </w:p>
        </w:tc>
        <w:tc>
          <w:tcPr>
            <w:tcW w:type="dxa" w:w="4032"/>
            <w:tcMar>
              <w:top w:w="90" w:type="dxa"/>
              <w:start w:w="120" w:type="dxa"/>
              <w:bottom w:w="90" w:type="dxa"/>
              <w:end w:w="120" w:type="dxa"/>
            </w:tcMar>
            <w:vAlign w:val="center"/>
          </w:tcPr>
          <w:p>
            <w:pPr>
              <w:spacing w:after="0" w:line="259" w:lineRule="auto"/>
            </w:pPr>
            <w:r>
              <w:rPr>
                <w:sz w:val="16"/>
              </w:rPr>
              <w:t>Tid fra signal til ændret kontrol; gentagelse af kendte fejl</w:t>
            </w:r>
          </w:p>
        </w:tc>
        <w:tc>
          <w:tcPr>
            <w:tcW w:type="dxa" w:w="3528"/>
            <w:tcMar>
              <w:top w:w="90" w:type="dxa"/>
              <w:start w:w="120" w:type="dxa"/>
              <w:bottom w:w="90" w:type="dxa"/>
              <w:end w:w="120" w:type="dxa"/>
            </w:tcMar>
            <w:vAlign w:val="center"/>
          </w:tcPr>
          <w:p>
            <w:pPr>
              <w:spacing w:after="0" w:line="259" w:lineRule="auto"/>
            </w:pPr>
            <w:r>
              <w:rPr>
                <w:sz w:val="16"/>
              </w:rPr>
              <w:t>ILR lukket uden upstream-ændring</w:t>
            </w:r>
          </w:p>
        </w:tc>
      </w:tr>
      <w:tr>
        <w:tc>
          <w:tcPr>
            <w:tcW w:type="dxa" w:w="1800"/>
            <w:tcMar>
              <w:top w:w="90" w:type="dxa"/>
              <w:start w:w="120" w:type="dxa"/>
              <w:bottom w:w="90" w:type="dxa"/>
              <w:end w:w="120" w:type="dxa"/>
            </w:tcMar>
            <w:vAlign w:val="center"/>
          </w:tcPr>
          <w:p>
            <w:pPr>
              <w:shd w:fill="F7F9FA"/>
              <w:spacing w:after="0" w:line="259" w:lineRule="auto"/>
            </w:pPr>
            <w:r>
              <w:rPr>
                <w:sz w:val="16"/>
              </w:rPr>
              <w:t>Proportionalitet</w:t>
            </w:r>
          </w:p>
        </w:tc>
        <w:tc>
          <w:tcPr>
            <w:tcW w:type="dxa" w:w="4032"/>
            <w:tcMar>
              <w:top w:w="90" w:type="dxa"/>
              <w:start w:w="120" w:type="dxa"/>
              <w:bottom w:w="90" w:type="dxa"/>
              <w:end w:w="120" w:type="dxa"/>
            </w:tcMar>
            <w:vAlign w:val="center"/>
          </w:tcPr>
          <w:p>
            <w:pPr>
              <w:shd w:fill="F7F9FA"/>
              <w:spacing w:after="0" w:line="259" w:lineRule="auto"/>
            </w:pPr>
            <w:r>
              <w:rPr>
                <w:sz w:val="16"/>
              </w:rPr>
              <w:t>Governance lead time efter risikoklasse</w:t>
            </w:r>
          </w:p>
        </w:tc>
        <w:tc>
          <w:tcPr>
            <w:tcW w:type="dxa" w:w="3528"/>
            <w:tcMar>
              <w:top w:w="90" w:type="dxa"/>
              <w:start w:w="120" w:type="dxa"/>
              <w:bottom w:w="90" w:type="dxa"/>
              <w:end w:w="120" w:type="dxa"/>
            </w:tcMar>
            <w:vAlign w:val="center"/>
          </w:tcPr>
          <w:p>
            <w:pPr>
              <w:shd w:fill="F7F9FA"/>
              <w:spacing w:after="0" w:line="259" w:lineRule="auto"/>
            </w:pPr>
            <w:r>
              <w:rPr>
                <w:sz w:val="16"/>
              </w:rPr>
              <w:t>Samme proces for alt eller systematisk bypass</w:t>
            </w:r>
          </w:p>
        </w:tc>
      </w:tr>
      <w:tr>
        <w:tc>
          <w:tcPr>
            <w:tcW w:type="dxa" w:w="1800"/>
            <w:tcMar>
              <w:top w:w="90" w:type="dxa"/>
              <w:start w:w="120" w:type="dxa"/>
              <w:bottom w:w="90" w:type="dxa"/>
              <w:end w:w="120" w:type="dxa"/>
            </w:tcMar>
            <w:vAlign w:val="center"/>
          </w:tcPr>
          <w:p>
            <w:pPr>
              <w:spacing w:after="0" w:line="259" w:lineRule="auto"/>
            </w:pPr>
            <w:r>
              <w:rPr>
                <w:sz w:val="16"/>
              </w:rPr>
              <w:t>Patientindflydelse</w:t>
            </w:r>
          </w:p>
        </w:tc>
        <w:tc>
          <w:tcPr>
            <w:tcW w:type="dxa" w:w="4032"/>
            <w:tcMar>
              <w:top w:w="90" w:type="dxa"/>
              <w:start w:w="120" w:type="dxa"/>
              <w:bottom w:w="90" w:type="dxa"/>
              <w:end w:w="120" w:type="dxa"/>
            </w:tcMar>
            <w:vAlign w:val="center"/>
          </w:tcPr>
          <w:p>
            <w:pPr>
              <w:spacing w:after="0" w:line="259" w:lineRule="auto"/>
            </w:pPr>
            <w:r>
              <w:rPr>
                <w:sz w:val="16"/>
              </w:rPr>
              <w:t>Tidspunkt og effekt af patientinput</w:t>
            </w:r>
          </w:p>
        </w:tc>
        <w:tc>
          <w:tcPr>
            <w:tcW w:type="dxa" w:w="3528"/>
            <w:tcMar>
              <w:top w:w="90" w:type="dxa"/>
              <w:start w:w="120" w:type="dxa"/>
              <w:bottom w:w="90" w:type="dxa"/>
              <w:end w:w="120" w:type="dxa"/>
            </w:tcMar>
            <w:vAlign w:val="center"/>
          </w:tcPr>
          <w:p>
            <w:pPr>
              <w:spacing w:after="0" w:line="259" w:lineRule="auto"/>
            </w:pPr>
            <w:r>
              <w:rPr>
                <w:sz w:val="16"/>
              </w:rPr>
              <w:t>Høring efter løsningsvalg</w:t>
            </w:r>
          </w:p>
        </w:tc>
      </w:tr>
      <w:tr>
        <w:tc>
          <w:tcPr>
            <w:tcW w:type="dxa" w:w="1800"/>
            <w:tcMar>
              <w:top w:w="90" w:type="dxa"/>
              <w:start w:w="120" w:type="dxa"/>
              <w:bottom w:w="90" w:type="dxa"/>
              <w:end w:w="120" w:type="dxa"/>
            </w:tcMar>
            <w:vAlign w:val="center"/>
          </w:tcPr>
          <w:p>
            <w:pPr>
              <w:shd w:fill="F7F9FA"/>
              <w:spacing w:after="0" w:line="259" w:lineRule="auto"/>
            </w:pPr>
            <w:r>
              <w:rPr>
                <w:sz w:val="16"/>
              </w:rPr>
              <w:t>Epistemisk kvalitet</w:t>
            </w:r>
          </w:p>
        </w:tc>
        <w:tc>
          <w:tcPr>
            <w:tcW w:type="dxa" w:w="4032"/>
            <w:tcMar>
              <w:top w:w="90" w:type="dxa"/>
              <w:start w:w="120" w:type="dxa"/>
              <w:bottom w:w="90" w:type="dxa"/>
              <w:end w:w="120" w:type="dxa"/>
            </w:tcMar>
            <w:vAlign w:val="center"/>
          </w:tcPr>
          <w:p>
            <w:pPr>
              <w:shd w:fill="F7F9FA"/>
              <w:spacing w:after="0" w:line="259" w:lineRule="auto"/>
            </w:pPr>
            <w:r>
              <w:rPr>
                <w:sz w:val="16"/>
              </w:rPr>
              <w:t>Udløbet evidens, reproducerbarhed, kildekonflikter</w:t>
            </w:r>
          </w:p>
        </w:tc>
        <w:tc>
          <w:tcPr>
            <w:tcW w:type="dxa" w:w="3528"/>
            <w:tcMar>
              <w:top w:w="90" w:type="dxa"/>
              <w:start w:w="120" w:type="dxa"/>
              <w:bottom w:w="90" w:type="dxa"/>
              <w:end w:w="120" w:type="dxa"/>
            </w:tcMar>
            <w:vAlign w:val="center"/>
          </w:tcPr>
          <w:p>
            <w:pPr>
              <w:shd w:fill="F7F9FA"/>
              <w:spacing w:after="0" w:line="259" w:lineRule="auto"/>
            </w:pPr>
            <w:r>
              <w:rPr>
                <w:sz w:val="16"/>
              </w:rPr>
              <w:t>Anbefalinger uden versioneret bundle</w:t>
            </w:r>
          </w:p>
        </w:tc>
      </w:tr>
      <w:tr>
        <w:tc>
          <w:tcPr>
            <w:tcW w:type="dxa" w:w="1800"/>
            <w:tcMar>
              <w:top w:w="90" w:type="dxa"/>
              <w:start w:w="120" w:type="dxa"/>
              <w:bottom w:w="90" w:type="dxa"/>
              <w:end w:w="120" w:type="dxa"/>
            </w:tcMar>
            <w:vAlign w:val="center"/>
          </w:tcPr>
          <w:p>
            <w:pPr>
              <w:spacing w:after="0" w:line="259" w:lineRule="auto"/>
            </w:pPr>
            <w:r>
              <w:rPr>
                <w:sz w:val="16"/>
              </w:rPr>
              <w:t>Anti-capture</w:t>
            </w:r>
          </w:p>
        </w:tc>
        <w:tc>
          <w:tcPr>
            <w:tcW w:type="dxa" w:w="4032"/>
            <w:tcMar>
              <w:top w:w="90" w:type="dxa"/>
              <w:start w:w="120" w:type="dxa"/>
              <w:bottom w:w="90" w:type="dxa"/>
              <w:end w:w="120" w:type="dxa"/>
            </w:tcMar>
            <w:vAlign w:val="center"/>
          </w:tcPr>
          <w:p>
            <w:pPr>
              <w:spacing w:after="0" w:line="259" w:lineRule="auto"/>
            </w:pPr>
            <w:r>
              <w:rPr>
                <w:sz w:val="16"/>
              </w:rPr>
              <w:t>Undtagelser, varighed, ejer og koncentration</w:t>
            </w:r>
          </w:p>
        </w:tc>
        <w:tc>
          <w:tcPr>
            <w:tcW w:type="dxa" w:w="3528"/>
            <w:tcMar>
              <w:top w:w="90" w:type="dxa"/>
              <w:start w:w="120" w:type="dxa"/>
              <w:bottom w:w="90" w:type="dxa"/>
              <w:end w:w="120" w:type="dxa"/>
            </w:tcMar>
            <w:vAlign w:val="center"/>
          </w:tcPr>
          <w:p>
            <w:pPr>
              <w:spacing w:after="0" w:line="259" w:lineRule="auto"/>
            </w:pPr>
            <w:r>
              <w:rPr>
                <w:sz w:val="16"/>
              </w:rPr>
              <w:t>Gentagne extensions eller samme godkender/leverandør</w:t>
            </w:r>
          </w:p>
        </w:tc>
      </w:tr>
      <w:tr>
        <w:tc>
          <w:tcPr>
            <w:tcW w:type="dxa" w:w="1800"/>
            <w:tcMar>
              <w:top w:w="90" w:type="dxa"/>
              <w:start w:w="120" w:type="dxa"/>
              <w:bottom w:w="90" w:type="dxa"/>
              <w:end w:w="120" w:type="dxa"/>
            </w:tcMar>
            <w:vAlign w:val="center"/>
          </w:tcPr>
          <w:p>
            <w:pPr>
              <w:shd w:fill="F7F9FA"/>
              <w:spacing w:after="0" w:line="259" w:lineRule="auto"/>
            </w:pPr>
            <w:r>
              <w:rPr>
                <w:sz w:val="16"/>
              </w:rPr>
              <w:t>Outcome alignment</w:t>
            </w:r>
          </w:p>
        </w:tc>
        <w:tc>
          <w:tcPr>
            <w:tcW w:type="dxa" w:w="4032"/>
            <w:tcMar>
              <w:top w:w="90" w:type="dxa"/>
              <w:start w:w="120" w:type="dxa"/>
              <w:bottom w:w="90" w:type="dxa"/>
              <w:end w:w="120" w:type="dxa"/>
            </w:tcMar>
            <w:vAlign w:val="center"/>
          </w:tcPr>
          <w:p>
            <w:pPr>
              <w:shd w:fill="F7F9FA"/>
              <w:spacing w:after="0" w:line="259" w:lineRule="auto"/>
            </w:pPr>
            <w:r>
              <w:rPr>
                <w:sz w:val="16"/>
              </w:rPr>
              <w:t>Sammenhæng mellem governance metrics og patient-/kliniske outcomes</w:t>
            </w:r>
          </w:p>
        </w:tc>
        <w:tc>
          <w:tcPr>
            <w:tcW w:type="dxa" w:w="3528"/>
            <w:tcMar>
              <w:top w:w="90" w:type="dxa"/>
              <w:start w:w="120" w:type="dxa"/>
              <w:bottom w:w="90" w:type="dxa"/>
              <w:end w:w="120" w:type="dxa"/>
            </w:tcMar>
            <w:vAlign w:val="center"/>
          </w:tcPr>
          <w:p>
            <w:pPr>
              <w:shd w:fill="F7F9FA"/>
              <w:spacing w:after="0" w:line="259" w:lineRule="auto"/>
            </w:pPr>
            <w:r>
              <w:rPr>
                <w:sz w:val="16"/>
              </w:rPr>
              <w:t>Dokumentkvalitet stiger uden effektsignal</w:t>
            </w:r>
          </w:p>
        </w:tc>
      </w:tr>
    </w:tbl>
    <w:p>
      <w:pPr>
        <w:spacing w:after="0"/>
      </w:pPr>
    </w:p>
    <w:p>
      <w:r>
        <w:br w:type="page"/>
      </w:r>
    </w:p>
    <w:p>
      <w:pPr>
        <w:spacing w:after="60"/>
      </w:pPr>
      <w:r>
        <w:rPr>
          <w:b/>
          <w:color w:val="667085"/>
          <w:sz w:val="18"/>
        </w:rPr>
        <w:t>CORTEX’ OPERATING SYSTEM</w:t>
      </w:r>
    </w:p>
    <w:p>
      <w:pPr>
        <w:pStyle w:val="Heading1"/>
      </w:pPr>
      <w:r>
        <w:t>27. Endelig framework-definition</w:t>
      </w:r>
    </w:p>
    <w:p>
      <w:r>
        <w:rPr>
          <w:rFonts w:ascii="Calibri" w:hAnsi="Calibri"/>
          <w:i w:val="0"/>
          <w:sz w:val="22"/>
        </w:rPr>
        <w:t>Cortex Governance Framework v1.0 definerer et lukket og hierarkisk læringssystem. Constitutionen fastlægger identiteten. Glossary og Position Papers gør den fortolkbar. Governance policies fordeler magt og ansvar. Design Principles og ADR’er omsætter normer til gentagelige beslutninger. Product Requirements, Safety Cases og Evaluation Protocols gør dem testbare. Release Dossiers legitimerer overgang til drift. Incident &amp; Learning Records og Research Agenda fører virkeligheden tilbage til systemet.</w:t>
      </w:r>
    </w:p>
    <w:p>
      <w:pPr>
        <w:spacing w:before="100" w:after="180"/>
        <w:ind w:left="173" w:right="173"/>
        <w:shd w:fill="E6F4EA"/>
      </w:pPr>
      <w:r>
        <w:rPr>
          <w:b/>
          <w:color w:val="216E39"/>
        </w:rPr>
        <w:t xml:space="preserve">Frameworkets succesbetingelse: </w:t>
      </w:r>
      <w:r>
        <w:t>En beslutning skal kunne forklares både opad og nedad: hvorfor den er legitim, hvordan den er realiseret, hvordan den er testet, hvem der bærer risikoen, og hvad der får den ændret.</w:t>
      </w:r>
    </w:p>
    <w:p>
      <w:pPr>
        <w:pStyle w:val="Heading2"/>
      </w:pPr>
      <w:r>
        <w:t>Samlet modenhedsdom</w:t>
      </w:r>
    </w:p>
    <w:p>
      <w:r>
        <w:rPr>
          <w:rFonts w:ascii="Calibri" w:hAnsi="Calibri"/>
          <w:i w:val="0"/>
          <w:sz w:val="22"/>
        </w:rPr>
        <w:t>Cortex har nu et sammenhængende menneskesyn, en begyndende epistemologi, en ratificeret etik, en stærk teori om klinisk arbejde og en teknologiforståelse som kognitiv og socioteknisk intervention. Frameworket løser den strukturelle styringsmangel, men organisationen er endnu ikke governance-moden, før organer, uafhængighed, registry, safety cases, releasegates og audit fungerer i reelle beslutninger.</w:t>
      </w:r>
    </w:p>
    <w:p>
      <w:pPr>
        <w:pStyle w:val="Heading2"/>
      </w:pPr>
      <w:r>
        <w:t>v1.0 må betragtes som bestået, når</w:t>
      </w:r>
    </w:p>
    <w:p>
      <w:pPr>
        <w:pStyle w:val="ListBullet"/>
        <w:spacing w:after="80" w:line="300" w:lineRule="auto"/>
      </w:pPr>
      <w:r>
        <w:t>én højrisiko-use case har fuld sporbarhed og uafhængig safety-godkendelse;</w:t>
      </w:r>
    </w:p>
    <w:p>
      <w:pPr>
        <w:pStyle w:val="ListBullet"/>
        <w:spacing w:after="80" w:line="300" w:lineRule="auto"/>
      </w:pPr>
      <w:r>
        <w:t>én reel konflikt er løst gennem forrangs- og proportionalitetsreglerne;</w:t>
      </w:r>
    </w:p>
    <w:p>
      <w:pPr>
        <w:pStyle w:val="ListBullet"/>
        <w:spacing w:after="80" w:line="300" w:lineRule="auto"/>
      </w:pPr>
      <w:r>
        <w:t>én hændelse eller evaluering har ændret et upstream-artefakt;</w:t>
      </w:r>
    </w:p>
    <w:p>
      <w:pPr>
        <w:pStyle w:val="ListBullet"/>
        <w:spacing w:after="80" w:line="300" w:lineRule="auto"/>
      </w:pPr>
      <w:r>
        <w:t>én planlagt release er blevet ændret eller standset af governance uden uformel omgåelse.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7"/>
      </w:rPr>
      <w:t>CORTEX  ·  GOVERNANCE FRAMEWORK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C607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F6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line="240" w:lineRule="auto"/>
    </w:pPr>
    <w:rPr>
      <w:rFonts w:asciiTheme="majorHAnsi" w:eastAsiaTheme="majorEastAsia" w:hAnsiTheme="majorHAnsi" w:cstheme="majorBidi" w:ascii="Calibri" w:hAnsi="Calibri"/>
      <w:b w:val="0"/>
      <w:i/>
      <w:iCs/>
      <w:color w:val="2C60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 Governance Framework v1.0</dc:title>
  <dc:subject>Normativ dokument- og beslutningsarkitektur for Cortex</dc:subject>
  <dc:creator>python-docx</dc:creator>
  <cp:keywords/>
  <dc:description>Syntese af redaktionel rapport, strategisk redaktionsrapport og ratificeringsbetænkning. Juli 2026.</dc:description>
  <cp:lastModifiedBy/>
  <cp:revision>1</cp:revision>
  <dcterms:created xsi:type="dcterms:W3CDTF">2013-12-23T23:15:00Z</dcterms:created>
  <dcterms:modified xsi:type="dcterms:W3CDTF">2013-12-23T23:15:00Z</dcterms:modified>
  <cp:category/>
</cp:coreProperties>
</file>