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E1F" w:rsidRPr="00687E1F" w:rsidRDefault="004C64DF" w:rsidP="00687E1F">
      <w:pPr>
        <w:jc w:val="center"/>
        <w:rPr>
          <w:b/>
          <w:lang w:val="en-US"/>
        </w:rPr>
      </w:pPr>
      <w:r>
        <w:rPr>
          <w:b/>
          <w:lang w:val="en-US"/>
        </w:rPr>
        <w:t>EXPERIMENT 2</w:t>
      </w:r>
    </w:p>
    <w:p w:rsidR="00687E1F" w:rsidRDefault="00687E1F" w:rsidP="00687E1F">
      <w:pPr>
        <w:jc w:val="both"/>
        <w:rPr>
          <w:lang w:val="en-US"/>
        </w:rPr>
      </w:pPr>
    </w:p>
    <w:p w:rsidR="004C64DF" w:rsidRDefault="00687E1F" w:rsidP="00687E1F">
      <w:pPr>
        <w:jc w:val="both"/>
        <w:rPr>
          <w:lang w:val="en-US"/>
        </w:rPr>
      </w:pPr>
      <w:r w:rsidRPr="00687E1F">
        <w:rPr>
          <w:lang w:val="en-US"/>
        </w:rPr>
        <w:t>The chart below summarizes</w:t>
      </w:r>
      <w:r>
        <w:rPr>
          <w:lang w:val="en-US"/>
        </w:rPr>
        <w:t xml:space="preserve"> the results of the </w:t>
      </w:r>
      <w:r w:rsidR="004C64DF">
        <w:rPr>
          <w:b/>
          <w:lang w:val="en-US"/>
        </w:rPr>
        <w:t>experiment 2</w:t>
      </w:r>
      <w:r>
        <w:rPr>
          <w:lang w:val="en-US"/>
        </w:rPr>
        <w:t>. For this experim</w:t>
      </w:r>
      <w:r w:rsidR="004C64DF">
        <w:rPr>
          <w:lang w:val="en-US"/>
        </w:rPr>
        <w:t>ent, I have used a query histories</w:t>
      </w:r>
      <w:r>
        <w:rPr>
          <w:lang w:val="en-US"/>
        </w:rPr>
        <w:t xml:space="preserve"> </w:t>
      </w:r>
      <w:r w:rsidR="004C64DF">
        <w:rPr>
          <w:lang w:val="en-US"/>
        </w:rPr>
        <w:t>varying from</w:t>
      </w:r>
      <w:r>
        <w:rPr>
          <w:lang w:val="en-US"/>
        </w:rPr>
        <w:t xml:space="preserve"> 100 </w:t>
      </w:r>
      <w:r w:rsidR="004C64DF">
        <w:rPr>
          <w:lang w:val="en-US"/>
        </w:rPr>
        <w:t>to</w:t>
      </w:r>
      <w:r>
        <w:rPr>
          <w:lang w:val="en-US"/>
        </w:rPr>
        <w:t xml:space="preserve"> 100</w:t>
      </w:r>
      <w:r w:rsidR="004C64DF">
        <w:rPr>
          <w:lang w:val="en-US"/>
        </w:rPr>
        <w:t>0 queries</w:t>
      </w:r>
      <w:r>
        <w:rPr>
          <w:lang w:val="en-US"/>
        </w:rPr>
        <w:t xml:space="preserve">. I have ran 50 different queries of each type (varying on the number of abstract services), and the result is the average processing time for each type. </w:t>
      </w:r>
      <w:r w:rsidR="004C64DF">
        <w:rPr>
          <w:lang w:val="en-US"/>
        </w:rPr>
        <w:t>T</w:t>
      </w:r>
      <w:r>
        <w:rPr>
          <w:lang w:val="en-US"/>
        </w:rPr>
        <w:t>he same queries</w:t>
      </w:r>
      <w:r w:rsidR="004C64DF">
        <w:rPr>
          <w:lang w:val="en-US"/>
        </w:rPr>
        <w:t xml:space="preserve"> were </w:t>
      </w:r>
      <w:r>
        <w:rPr>
          <w:lang w:val="en-US"/>
        </w:rPr>
        <w:t xml:space="preserve">applied </w:t>
      </w:r>
      <w:r w:rsidR="004C64DF">
        <w:rPr>
          <w:lang w:val="en-US"/>
        </w:rPr>
        <w:t>to the different histories</w:t>
      </w:r>
      <w:r>
        <w:rPr>
          <w:lang w:val="en-US"/>
        </w:rPr>
        <w:t>.</w:t>
      </w:r>
      <w:bookmarkStart w:id="0" w:name="_GoBack"/>
      <w:bookmarkEnd w:id="0"/>
    </w:p>
    <w:p w:rsidR="004C64DF" w:rsidRDefault="004C64DF" w:rsidP="00687E1F">
      <w:pPr>
        <w:jc w:val="both"/>
        <w:rPr>
          <w:lang w:val="en-US"/>
        </w:rPr>
      </w:pPr>
      <w:r>
        <w:rPr>
          <w:lang w:val="en-US"/>
        </w:rPr>
        <w:t>The number of queries do not seem to affect the processing time.</w:t>
      </w:r>
    </w:p>
    <w:p w:rsidR="00687E1F" w:rsidRPr="00687E1F" w:rsidRDefault="00687E1F">
      <w:pPr>
        <w:rPr>
          <w:lang w:val="en-US"/>
        </w:rPr>
      </w:pPr>
    </w:p>
    <w:p w:rsidR="00687E1F" w:rsidRDefault="004C64DF" w:rsidP="00687E1F">
      <w:pPr>
        <w:jc w:val="center"/>
      </w:pPr>
      <w:r>
        <w:rPr>
          <w:noProof/>
          <w:lang w:eastAsia="fr-FR"/>
        </w:rPr>
        <w:drawing>
          <wp:inline distT="0" distB="0" distL="0" distR="0" wp14:anchorId="35339CF7" wp14:editId="26693B98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87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1F"/>
    <w:rsid w:val="000223FF"/>
    <w:rsid w:val="004C64DF"/>
    <w:rsid w:val="00543ECA"/>
    <w:rsid w:val="00687E1F"/>
    <w:rsid w:val="00E7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8FD58-531E-4469-966F-3FA83C7C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Scalability</a:t>
            </a:r>
            <a:r>
              <a:rPr lang="fr-FR" baseline="0"/>
              <a:t> Evaluation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'Result chart'!$A$5</c:f>
              <c:strCache>
                <c:ptCount val="1"/>
                <c:pt idx="0">
                  <c:v>100 queries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'Result chart'!$B$4:$E$4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'Result chart'!$B$5:$E$5</c:f>
              <c:numCache>
                <c:formatCode>General</c:formatCode>
                <c:ptCount val="4"/>
                <c:pt idx="0">
                  <c:v>4.3680280000000012E-3</c:v>
                </c:pt>
                <c:pt idx="1">
                  <c:v>4.6800300000000008E-3</c:v>
                </c:pt>
                <c:pt idx="2">
                  <c:v>4.3680280000000012E-3</c:v>
                </c:pt>
                <c:pt idx="3">
                  <c:v>2.8080180000000007E-3</c:v>
                </c:pt>
              </c:numCache>
            </c:numRef>
          </c:val>
        </c:ser>
        <c:ser>
          <c:idx val="1"/>
          <c:order val="1"/>
          <c:tx>
            <c:strRef>
              <c:f>'Result chart'!$A$6</c:f>
              <c:strCache>
                <c:ptCount val="1"/>
                <c:pt idx="0">
                  <c:v>200 queries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'Result chart'!$B$4:$E$4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'Result chart'!$B$6:$E$6</c:f>
              <c:numCache>
                <c:formatCode>General</c:formatCode>
                <c:ptCount val="4"/>
                <c:pt idx="0">
                  <c:v>6.2400400000000014E-3</c:v>
                </c:pt>
                <c:pt idx="1">
                  <c:v>5.6160360000000013E-3</c:v>
                </c:pt>
                <c:pt idx="2">
                  <c:v>4.6800300000000008E-3</c:v>
                </c:pt>
                <c:pt idx="3">
                  <c:v>4.0560260000000008E-3</c:v>
                </c:pt>
              </c:numCache>
            </c:numRef>
          </c:val>
        </c:ser>
        <c:ser>
          <c:idx val="2"/>
          <c:order val="2"/>
          <c:tx>
            <c:strRef>
              <c:f>'Result chart'!$A$7</c:f>
              <c:strCache>
                <c:ptCount val="1"/>
                <c:pt idx="0">
                  <c:v>300 queries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'Result chart'!$B$4:$E$4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'Result chart'!$B$7:$E$7</c:f>
              <c:numCache>
                <c:formatCode>General</c:formatCode>
                <c:ptCount val="4"/>
                <c:pt idx="0">
                  <c:v>6.552042000000001E-3</c:v>
                </c:pt>
                <c:pt idx="1">
                  <c:v>4.6800300000000008E-3</c:v>
                </c:pt>
                <c:pt idx="2">
                  <c:v>5.9280380000000009E-3</c:v>
                </c:pt>
                <c:pt idx="3">
                  <c:v>3.1200200000000007E-3</c:v>
                </c:pt>
              </c:numCache>
            </c:numRef>
          </c:val>
        </c:ser>
        <c:ser>
          <c:idx val="3"/>
          <c:order val="3"/>
          <c:tx>
            <c:strRef>
              <c:f>'Result chart'!$A$8</c:f>
              <c:strCache>
                <c:ptCount val="1"/>
                <c:pt idx="0">
                  <c:v>500 queries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'Result chart'!$B$4:$E$4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'Result chart'!$B$8:$E$8</c:f>
              <c:numCache>
                <c:formatCode>General</c:formatCode>
                <c:ptCount val="4"/>
                <c:pt idx="0">
                  <c:v>6.2400400000000014E-3</c:v>
                </c:pt>
                <c:pt idx="1">
                  <c:v>4.0560260000000008E-3</c:v>
                </c:pt>
                <c:pt idx="2">
                  <c:v>5.3040340000000009E-3</c:v>
                </c:pt>
                <c:pt idx="3">
                  <c:v>3.7440240000000007E-3</c:v>
                </c:pt>
              </c:numCache>
            </c:numRef>
          </c:val>
        </c:ser>
        <c:ser>
          <c:idx val="4"/>
          <c:order val="4"/>
          <c:tx>
            <c:strRef>
              <c:f>'Result chart'!$A$9</c:f>
              <c:strCache>
                <c:ptCount val="1"/>
                <c:pt idx="0">
                  <c:v>1000 queries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'Result chart'!$B$4:$E$4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'Result chart'!$B$9:$E$9</c:f>
              <c:numCache>
                <c:formatCode>General</c:formatCode>
                <c:ptCount val="4"/>
                <c:pt idx="0">
                  <c:v>4.6800300000000008E-3</c:v>
                </c:pt>
                <c:pt idx="1">
                  <c:v>4.9920320000000013E-3</c:v>
                </c:pt>
                <c:pt idx="2">
                  <c:v>3.7440240000000007E-3</c:v>
                </c:pt>
                <c:pt idx="3">
                  <c:v>5.6160360000000013E-3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8230832"/>
        <c:axId val="308231392"/>
      </c:barChart>
      <c:catAx>
        <c:axId val="308230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Number of</a:t>
                </a:r>
                <a:r>
                  <a:rPr lang="fr-FR" baseline="0"/>
                  <a:t> abstract services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08231392"/>
        <c:crosses val="autoZero"/>
        <c:auto val="1"/>
        <c:lblAlgn val="ctr"/>
        <c:lblOffset val="100"/>
        <c:noMultiLvlLbl val="0"/>
      </c:catAx>
      <c:valAx>
        <c:axId val="30823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Average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08230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2017-04-13T20:11:00Z</cp:lastPrinted>
  <dcterms:created xsi:type="dcterms:W3CDTF">2017-04-12T10:49:00Z</dcterms:created>
  <dcterms:modified xsi:type="dcterms:W3CDTF">2017-04-13T20:11:00Z</dcterms:modified>
</cp:coreProperties>
</file>