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122" w:rsidRPr="006A4BEC" w:rsidRDefault="006A4BEC">
      <w:pPr>
        <w:rPr>
          <w:b/>
          <w:lang w:val="en-US"/>
        </w:rPr>
      </w:pPr>
      <w:r w:rsidRPr="006A4BEC">
        <w:rPr>
          <w:b/>
          <w:lang w:val="en-US"/>
        </w:rPr>
        <w:t>Experiment 3</w:t>
      </w:r>
    </w:p>
    <w:p w:rsidR="006A4BEC" w:rsidRPr="006A4BEC" w:rsidRDefault="006A4BEC" w:rsidP="00F17BAD">
      <w:pPr>
        <w:jc w:val="both"/>
        <w:rPr>
          <w:lang w:val="en-US"/>
        </w:rPr>
      </w:pPr>
      <w:r w:rsidRPr="006A4BEC">
        <w:rPr>
          <w:lang w:val="en-US"/>
        </w:rPr>
        <w:t xml:space="preserve">In this third experiment, I have varied </w:t>
      </w:r>
      <w:r>
        <w:rPr>
          <w:lang w:val="en-US"/>
        </w:rPr>
        <w:t xml:space="preserve">the size of the history, but also the number of matchings of the query. For instance, in the first history (including 10.000 queries) there are 2500 queries of each type (with </w:t>
      </w:r>
      <w:proofErr w:type="gramStart"/>
      <w:r>
        <w:rPr>
          <w:lang w:val="en-US"/>
        </w:rPr>
        <w:t>2</w:t>
      </w:r>
      <w:proofErr w:type="gramEnd"/>
      <w:r>
        <w:rPr>
          <w:lang w:val="en-US"/>
        </w:rPr>
        <w:t>, 3, 4 and 5 abstract services); in the second, 5000; and in the third, 7500.</w:t>
      </w:r>
    </w:p>
    <w:p w:rsidR="006A4BEC" w:rsidRPr="006A4BEC" w:rsidRDefault="006A4BEC" w:rsidP="00F17BAD">
      <w:pPr>
        <w:jc w:val="both"/>
        <w:rPr>
          <w:lang w:val="en-US"/>
        </w:rPr>
      </w:pPr>
      <w:proofErr w:type="gramStart"/>
      <w:r>
        <w:rPr>
          <w:lang w:val="en-US"/>
        </w:rPr>
        <w:t>This experiment has shown</w:t>
      </w:r>
      <w:bookmarkStart w:id="0" w:name="_GoBack"/>
      <w:bookmarkEnd w:id="0"/>
      <w:r>
        <w:rPr>
          <w:lang w:val="en-US"/>
        </w:rPr>
        <w:t xml:space="preserve"> that (i) as we increase the number of matchings, and consequently the size</w:t>
      </w:r>
      <w:r w:rsidR="00F17BAD">
        <w:rPr>
          <w:lang w:val="en-US"/>
        </w:rPr>
        <w:t>, the processing time increases, but until 7500 matchings in a history of 30.000 queries the processing time is low (around 0.3 seconds);</w:t>
      </w:r>
      <w:r>
        <w:rPr>
          <w:lang w:val="en-US"/>
        </w:rPr>
        <w:t xml:space="preserve"> and</w:t>
      </w:r>
      <w:r w:rsidR="00F17BAD">
        <w:rPr>
          <w:lang w:val="en-US"/>
        </w:rPr>
        <w:t xml:space="preserve"> (ii) the size of the query has no impact in the processing time for the cases which have the same abstract services.</w:t>
      </w:r>
      <w:proofErr w:type="gramEnd"/>
      <w:r>
        <w:rPr>
          <w:lang w:val="en-US"/>
        </w:rPr>
        <w:t xml:space="preserve"> </w:t>
      </w:r>
    </w:p>
    <w:p w:rsidR="006A4BEC" w:rsidRPr="006A4BEC" w:rsidRDefault="006A4BEC" w:rsidP="006A4BEC">
      <w:pPr>
        <w:jc w:val="center"/>
        <w:rPr>
          <w:lang w:val="en-US"/>
        </w:rPr>
      </w:pPr>
      <w:r w:rsidRPr="006A4BEC">
        <w:rPr>
          <w:noProof/>
          <w:lang w:val="en-US" w:eastAsia="fr-FR"/>
        </w:rPr>
        <w:drawing>
          <wp:inline distT="0" distB="0" distL="0" distR="0" wp14:anchorId="028CF69E" wp14:editId="40BE4BB2">
            <wp:extent cx="5572126" cy="2743200"/>
            <wp:effectExtent l="38100" t="38100" r="85725" b="952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A4BEC" w:rsidRPr="006A4BEC" w:rsidRDefault="006A4BEC" w:rsidP="006A4BEC">
      <w:pPr>
        <w:jc w:val="center"/>
        <w:rPr>
          <w:lang w:val="en-US"/>
        </w:rPr>
      </w:pPr>
    </w:p>
    <w:sectPr w:rsidR="006A4BEC" w:rsidRPr="006A4B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BEC"/>
    <w:rsid w:val="00544122"/>
    <w:rsid w:val="006A4BEC"/>
    <w:rsid w:val="00F17B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7872F-8C4C-45B5-814B-25225598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Scalability 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Chart!$A$6</c:f>
              <c:strCache>
                <c:ptCount val="1"/>
                <c:pt idx="0">
                  <c:v>History with 10.000 queries</c:v>
                </c:pt>
              </c:strCache>
            </c:strRef>
          </c:tx>
          <c:spPr>
            <a:solidFill>
              <a:schemeClr val="accent1"/>
            </a:solidFill>
            <a:ln>
              <a:noFill/>
            </a:ln>
            <a:effectLst/>
          </c:spPr>
          <c:invertIfNegative val="0"/>
          <c:cat>
            <c:numRef>
              <c:f>Chart!$B$5:$E$5</c:f>
              <c:numCache>
                <c:formatCode>General</c:formatCode>
                <c:ptCount val="4"/>
                <c:pt idx="0">
                  <c:v>2</c:v>
                </c:pt>
                <c:pt idx="1">
                  <c:v>3</c:v>
                </c:pt>
                <c:pt idx="2">
                  <c:v>4</c:v>
                </c:pt>
                <c:pt idx="3">
                  <c:v>5</c:v>
                </c:pt>
              </c:numCache>
            </c:numRef>
          </c:cat>
          <c:val>
            <c:numRef>
              <c:f>Chart!$B$6:$E$6</c:f>
              <c:numCache>
                <c:formatCode>General</c:formatCode>
                <c:ptCount val="4"/>
                <c:pt idx="0">
                  <c:v>0.11145833333333333</c:v>
                </c:pt>
                <c:pt idx="1">
                  <c:v>0.10881250000000001</c:v>
                </c:pt>
                <c:pt idx="2">
                  <c:v>0.12035416666666666</c:v>
                </c:pt>
                <c:pt idx="3">
                  <c:v>0.11002083333333333</c:v>
                </c:pt>
              </c:numCache>
            </c:numRef>
          </c:val>
        </c:ser>
        <c:ser>
          <c:idx val="1"/>
          <c:order val="1"/>
          <c:tx>
            <c:strRef>
              <c:f>Chart!$A$7</c:f>
              <c:strCache>
                <c:ptCount val="1"/>
                <c:pt idx="0">
                  <c:v>History with 20.000 queries</c:v>
                </c:pt>
              </c:strCache>
            </c:strRef>
          </c:tx>
          <c:spPr>
            <a:solidFill>
              <a:schemeClr val="accent2"/>
            </a:solidFill>
            <a:ln>
              <a:noFill/>
            </a:ln>
            <a:effectLst/>
          </c:spPr>
          <c:invertIfNegative val="0"/>
          <c:cat>
            <c:numRef>
              <c:f>Chart!$B$5:$E$5</c:f>
              <c:numCache>
                <c:formatCode>General</c:formatCode>
                <c:ptCount val="4"/>
                <c:pt idx="0">
                  <c:v>2</c:v>
                </c:pt>
                <c:pt idx="1">
                  <c:v>3</c:v>
                </c:pt>
                <c:pt idx="2">
                  <c:v>4</c:v>
                </c:pt>
                <c:pt idx="3">
                  <c:v>5</c:v>
                </c:pt>
              </c:numCache>
            </c:numRef>
          </c:cat>
          <c:val>
            <c:numRef>
              <c:f>Chart!$B$7:$E$7</c:f>
              <c:numCache>
                <c:formatCode>General</c:formatCode>
                <c:ptCount val="4"/>
                <c:pt idx="0">
                  <c:v>0.21256249999999999</c:v>
                </c:pt>
                <c:pt idx="1">
                  <c:v>0.21049999999999999</c:v>
                </c:pt>
                <c:pt idx="2">
                  <c:v>0.21056250000000001</c:v>
                </c:pt>
                <c:pt idx="3">
                  <c:v>0.21014583333333334</c:v>
                </c:pt>
              </c:numCache>
            </c:numRef>
          </c:val>
        </c:ser>
        <c:ser>
          <c:idx val="2"/>
          <c:order val="2"/>
          <c:tx>
            <c:strRef>
              <c:f>Chart!$A$8</c:f>
              <c:strCache>
                <c:ptCount val="1"/>
                <c:pt idx="0">
                  <c:v>History with 30.000 queries</c:v>
                </c:pt>
              </c:strCache>
            </c:strRef>
          </c:tx>
          <c:spPr>
            <a:solidFill>
              <a:schemeClr val="accent3"/>
            </a:solidFill>
            <a:ln>
              <a:noFill/>
            </a:ln>
            <a:effectLst/>
          </c:spPr>
          <c:invertIfNegative val="0"/>
          <c:cat>
            <c:numRef>
              <c:f>Chart!$B$5:$E$5</c:f>
              <c:numCache>
                <c:formatCode>General</c:formatCode>
                <c:ptCount val="4"/>
                <c:pt idx="0">
                  <c:v>2</c:v>
                </c:pt>
                <c:pt idx="1">
                  <c:v>3</c:v>
                </c:pt>
                <c:pt idx="2">
                  <c:v>4</c:v>
                </c:pt>
                <c:pt idx="3">
                  <c:v>5</c:v>
                </c:pt>
              </c:numCache>
            </c:numRef>
          </c:cat>
          <c:val>
            <c:numRef>
              <c:f>Chart!$B$8:$E$8</c:f>
              <c:numCache>
                <c:formatCode>General</c:formatCode>
                <c:ptCount val="4"/>
                <c:pt idx="0">
                  <c:v>0.31456250000000002</c:v>
                </c:pt>
                <c:pt idx="1">
                  <c:v>0.32018750000000001</c:v>
                </c:pt>
                <c:pt idx="2">
                  <c:v>0.32177083333333334</c:v>
                </c:pt>
                <c:pt idx="3">
                  <c:v>0.32477083333333334</c:v>
                </c:pt>
              </c:numCache>
            </c:numRef>
          </c:val>
        </c:ser>
        <c:dLbls>
          <c:showLegendKey val="0"/>
          <c:showVal val="0"/>
          <c:showCatName val="0"/>
          <c:showSerName val="0"/>
          <c:showPercent val="0"/>
          <c:showBubbleSize val="0"/>
        </c:dLbls>
        <c:gapWidth val="219"/>
        <c:overlap val="-27"/>
        <c:axId val="190443872"/>
        <c:axId val="190444432"/>
      </c:barChart>
      <c:catAx>
        <c:axId val="19044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Number of</a:t>
                </a:r>
                <a:r>
                  <a:rPr lang="fr-FR" baseline="0"/>
                  <a:t> abstract services</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0444432"/>
        <c:crosses val="autoZero"/>
        <c:auto val="1"/>
        <c:lblAlgn val="ctr"/>
        <c:lblOffset val="100"/>
        <c:noMultiLvlLbl val="0"/>
      </c:catAx>
      <c:valAx>
        <c:axId val="19044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Average 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044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16CD8-6DDD-47F9-A763-F03D775A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103</Words>
  <Characters>568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2017-04-16T23:40:00Z</dcterms:created>
  <dcterms:modified xsi:type="dcterms:W3CDTF">2017-04-16T23:55:00Z</dcterms:modified>
</cp:coreProperties>
</file>