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230" w:rsidRDefault="00395ECC" w:rsidP="00395ECC">
      <w:pPr>
        <w:jc w:val="both"/>
        <w:rPr>
          <w:lang w:val="en-US"/>
        </w:rPr>
      </w:pPr>
      <w:r w:rsidRPr="00395ECC">
        <w:rPr>
          <w:b/>
          <w:lang w:val="en-US"/>
        </w:rPr>
        <w:t>Experiment:</w:t>
      </w:r>
      <w:r w:rsidRPr="00395ECC">
        <w:rPr>
          <w:lang w:val="en-US"/>
        </w:rPr>
        <w:t xml:space="preserve"> I have compared the rewriting and reusing following the same idea of increasing the matching of queries and services.</w:t>
      </w:r>
    </w:p>
    <w:p w:rsidR="00395ECC" w:rsidRDefault="00395ECC" w:rsidP="00395ECC">
      <w:pPr>
        <w:jc w:val="both"/>
        <w:rPr>
          <w:lang w:val="en-US"/>
        </w:rPr>
      </w:pPr>
      <w:r>
        <w:rPr>
          <w:lang w:val="en-US"/>
        </w:rPr>
        <w:t>As we can see, the performance of reusing is better than rewriting. The number of abstract services do not influence in the performance of the reusability approach. On the other hand, in the rewriting approach if the number of abstract services increase, the performance decreases a lot. For queries with five abstract services matching 500 data services, the rewriting time is long (hours)</w:t>
      </w:r>
      <w:r w:rsidR="00DD23F1">
        <w:rPr>
          <w:lang w:val="en-US"/>
        </w:rPr>
        <w:t xml:space="preserve"> and the reusing time is lower the half of one second.</w:t>
      </w:r>
      <w:bookmarkStart w:id="0" w:name="_GoBack"/>
      <w:bookmarkEnd w:id="0"/>
    </w:p>
    <w:p w:rsidR="00395ECC" w:rsidRDefault="00395ECC" w:rsidP="00395ECC">
      <w:pPr>
        <w:jc w:val="both"/>
        <w:rPr>
          <w:lang w:val="en-US"/>
        </w:rPr>
      </w:pPr>
    </w:p>
    <w:p w:rsidR="00395ECC" w:rsidRDefault="00395ECC" w:rsidP="00395ECC">
      <w:pPr>
        <w:jc w:val="center"/>
        <w:rPr>
          <w:lang w:val="en-US"/>
        </w:rPr>
      </w:pPr>
      <w:r>
        <w:rPr>
          <w:noProof/>
          <w:lang w:eastAsia="fr-FR"/>
        </w:rPr>
        <w:drawing>
          <wp:inline distT="0" distB="0" distL="0" distR="0" wp14:anchorId="287C7724" wp14:editId="1C87BED2">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395ECC" w:rsidRDefault="00395ECC" w:rsidP="00395ECC">
      <w:pPr>
        <w:jc w:val="center"/>
        <w:rPr>
          <w:lang w:val="en-US"/>
        </w:rPr>
      </w:pPr>
      <w:r>
        <w:rPr>
          <w:noProof/>
          <w:lang w:eastAsia="fr-FR"/>
        </w:rPr>
        <w:drawing>
          <wp:inline distT="0" distB="0" distL="0" distR="0" wp14:anchorId="6C0B9819" wp14:editId="36E833B7">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95ECC" w:rsidRDefault="00395ECC" w:rsidP="00395ECC">
      <w:pPr>
        <w:jc w:val="center"/>
        <w:rPr>
          <w:lang w:val="en-US"/>
        </w:rPr>
      </w:pPr>
      <w:r>
        <w:rPr>
          <w:noProof/>
          <w:lang w:eastAsia="fr-FR"/>
        </w:rPr>
        <w:lastRenderedPageBreak/>
        <w:drawing>
          <wp:inline distT="0" distB="0" distL="0" distR="0" wp14:anchorId="2A21DE45" wp14:editId="17008495">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95ECC" w:rsidRPr="00395ECC" w:rsidRDefault="00395ECC" w:rsidP="00395ECC">
      <w:pPr>
        <w:jc w:val="center"/>
        <w:rPr>
          <w:lang w:val="en-US"/>
        </w:rPr>
      </w:pPr>
      <w:r>
        <w:rPr>
          <w:noProof/>
          <w:lang w:eastAsia="fr-FR"/>
        </w:rPr>
        <w:drawing>
          <wp:inline distT="0" distB="0" distL="0" distR="0" wp14:anchorId="2F30C39E" wp14:editId="69B42939">
            <wp:extent cx="45720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395ECC" w:rsidRPr="00395E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ECC"/>
    <w:rsid w:val="00395ECC"/>
    <w:rsid w:val="009A0230"/>
    <w:rsid w:val="00DD23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C20AE-84CD-4450-90BC-C0A23473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Pasta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Pasta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Pasta2"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Pasta2"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Performance evaluation</a:t>
            </a:r>
            <a:endParaRPr lang="fr-FR" baseline="0"/>
          </a:p>
          <a:p>
            <a:pPr>
              <a:defRPr/>
            </a:pPr>
            <a:r>
              <a:rPr lang="fr-FR" sz="1100" baseline="0"/>
              <a:t>Queries with 2 abstract services</a:t>
            </a:r>
            <a:endParaRPr lang="fr-FR"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Plan1!$A$4</c:f>
              <c:strCache>
                <c:ptCount val="1"/>
                <c:pt idx="0">
                  <c:v>Reusing </c:v>
                </c:pt>
              </c:strCache>
            </c:strRef>
          </c:tx>
          <c:spPr>
            <a:solidFill>
              <a:schemeClr val="accent1"/>
            </a:solidFill>
            <a:ln>
              <a:noFill/>
            </a:ln>
            <a:effectLst/>
          </c:spPr>
          <c:invertIfNegative val="0"/>
          <c:cat>
            <c:numRef>
              <c:f>Plan1!$B$3:$E$3</c:f>
              <c:numCache>
                <c:formatCode>General</c:formatCode>
                <c:ptCount val="4"/>
                <c:pt idx="0">
                  <c:v>100</c:v>
                </c:pt>
                <c:pt idx="1">
                  <c:v>200</c:v>
                </c:pt>
                <c:pt idx="2">
                  <c:v>300</c:v>
                </c:pt>
                <c:pt idx="3">
                  <c:v>500</c:v>
                </c:pt>
              </c:numCache>
            </c:numRef>
          </c:cat>
          <c:val>
            <c:numRef>
              <c:f>Plan1!$B$4:$E$4</c:f>
              <c:numCache>
                <c:formatCode>General</c:formatCode>
                <c:ptCount val="4"/>
                <c:pt idx="0">
                  <c:v>1.4999999999999999E-2</c:v>
                </c:pt>
                <c:pt idx="1">
                  <c:v>1.4999999999999999E-2</c:v>
                </c:pt>
                <c:pt idx="2">
                  <c:v>0.02</c:v>
                </c:pt>
                <c:pt idx="3">
                  <c:v>0.02</c:v>
                </c:pt>
              </c:numCache>
            </c:numRef>
          </c:val>
        </c:ser>
        <c:ser>
          <c:idx val="1"/>
          <c:order val="1"/>
          <c:tx>
            <c:strRef>
              <c:f>Plan1!$A$5</c:f>
              <c:strCache>
                <c:ptCount val="1"/>
                <c:pt idx="0">
                  <c:v>Rewriting </c:v>
                </c:pt>
              </c:strCache>
            </c:strRef>
          </c:tx>
          <c:spPr>
            <a:solidFill>
              <a:schemeClr val="accent2"/>
            </a:solidFill>
            <a:ln>
              <a:noFill/>
            </a:ln>
            <a:effectLst/>
          </c:spPr>
          <c:invertIfNegative val="0"/>
          <c:cat>
            <c:numRef>
              <c:f>Plan1!$B$3:$E$3</c:f>
              <c:numCache>
                <c:formatCode>General</c:formatCode>
                <c:ptCount val="4"/>
                <c:pt idx="0">
                  <c:v>100</c:v>
                </c:pt>
                <c:pt idx="1">
                  <c:v>200</c:v>
                </c:pt>
                <c:pt idx="2">
                  <c:v>300</c:v>
                </c:pt>
                <c:pt idx="3">
                  <c:v>500</c:v>
                </c:pt>
              </c:numCache>
            </c:numRef>
          </c:cat>
          <c:val>
            <c:numRef>
              <c:f>Plan1!$B$5:$E$5</c:f>
              <c:numCache>
                <c:formatCode>General</c:formatCode>
                <c:ptCount val="4"/>
                <c:pt idx="0">
                  <c:v>0.32</c:v>
                </c:pt>
                <c:pt idx="1">
                  <c:v>0.35</c:v>
                </c:pt>
                <c:pt idx="2">
                  <c:v>0.34699999999999998</c:v>
                </c:pt>
                <c:pt idx="3">
                  <c:v>0.38</c:v>
                </c:pt>
              </c:numCache>
            </c:numRef>
          </c:val>
        </c:ser>
        <c:dLbls>
          <c:showLegendKey val="0"/>
          <c:showVal val="0"/>
          <c:showCatName val="0"/>
          <c:showSerName val="0"/>
          <c:showPercent val="0"/>
          <c:showBubbleSize val="0"/>
        </c:dLbls>
        <c:gapWidth val="219"/>
        <c:overlap val="-27"/>
        <c:axId val="361704368"/>
        <c:axId val="361736512"/>
      </c:barChart>
      <c:catAx>
        <c:axId val="36170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Number of</a:t>
                </a:r>
                <a:r>
                  <a:rPr lang="fr-FR" baseline="0"/>
                  <a:t> matchings</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1736512"/>
        <c:crosses val="autoZero"/>
        <c:auto val="1"/>
        <c:lblAlgn val="ctr"/>
        <c:lblOffset val="100"/>
        <c:noMultiLvlLbl val="0"/>
      </c:catAx>
      <c:valAx>
        <c:axId val="361736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1704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800" b="0" i="0" baseline="0">
                <a:effectLst/>
              </a:rPr>
              <a:t>Performance evaluation</a:t>
            </a:r>
            <a:endParaRPr lang="fr-FR">
              <a:effectLst/>
            </a:endParaRPr>
          </a:p>
          <a:p>
            <a:pPr>
              <a:defRPr/>
            </a:pPr>
            <a:r>
              <a:rPr lang="fr-FR" sz="1100" b="0" i="0" baseline="0">
                <a:effectLst/>
              </a:rPr>
              <a:t>Queries with 3 abstract services</a:t>
            </a:r>
            <a:endParaRPr lang="fr-FR"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Plan1!$A$9</c:f>
              <c:strCache>
                <c:ptCount val="1"/>
                <c:pt idx="0">
                  <c:v>Reusing</c:v>
                </c:pt>
              </c:strCache>
            </c:strRef>
          </c:tx>
          <c:spPr>
            <a:solidFill>
              <a:schemeClr val="accent1"/>
            </a:solidFill>
            <a:ln>
              <a:noFill/>
            </a:ln>
            <a:effectLst/>
          </c:spPr>
          <c:invertIfNegative val="0"/>
          <c:cat>
            <c:numRef>
              <c:f>Plan1!$B$8:$E$8</c:f>
              <c:numCache>
                <c:formatCode>General</c:formatCode>
                <c:ptCount val="4"/>
                <c:pt idx="0">
                  <c:v>100</c:v>
                </c:pt>
                <c:pt idx="1">
                  <c:v>200</c:v>
                </c:pt>
                <c:pt idx="2">
                  <c:v>300</c:v>
                </c:pt>
                <c:pt idx="3">
                  <c:v>500</c:v>
                </c:pt>
              </c:numCache>
            </c:numRef>
          </c:cat>
          <c:val>
            <c:numRef>
              <c:f>Plan1!$B$9:$E$9</c:f>
              <c:numCache>
                <c:formatCode>General</c:formatCode>
                <c:ptCount val="4"/>
                <c:pt idx="0">
                  <c:v>0.02</c:v>
                </c:pt>
                <c:pt idx="1">
                  <c:v>2.8000000000000001E-2</c:v>
                </c:pt>
                <c:pt idx="2">
                  <c:v>0.03</c:v>
                </c:pt>
                <c:pt idx="3">
                  <c:v>0.03</c:v>
                </c:pt>
              </c:numCache>
            </c:numRef>
          </c:val>
        </c:ser>
        <c:ser>
          <c:idx val="1"/>
          <c:order val="1"/>
          <c:tx>
            <c:strRef>
              <c:f>Plan1!$A$10</c:f>
              <c:strCache>
                <c:ptCount val="1"/>
                <c:pt idx="0">
                  <c:v>Rewriting</c:v>
                </c:pt>
              </c:strCache>
            </c:strRef>
          </c:tx>
          <c:spPr>
            <a:solidFill>
              <a:schemeClr val="accent2"/>
            </a:solidFill>
            <a:ln>
              <a:noFill/>
            </a:ln>
            <a:effectLst/>
          </c:spPr>
          <c:invertIfNegative val="0"/>
          <c:cat>
            <c:numRef>
              <c:f>Plan1!$B$8:$E$8</c:f>
              <c:numCache>
                <c:formatCode>General</c:formatCode>
                <c:ptCount val="4"/>
                <c:pt idx="0">
                  <c:v>100</c:v>
                </c:pt>
                <c:pt idx="1">
                  <c:v>200</c:v>
                </c:pt>
                <c:pt idx="2">
                  <c:v>300</c:v>
                </c:pt>
                <c:pt idx="3">
                  <c:v>500</c:v>
                </c:pt>
              </c:numCache>
            </c:numRef>
          </c:cat>
          <c:val>
            <c:numRef>
              <c:f>Plan1!$B$10:$E$10</c:f>
              <c:numCache>
                <c:formatCode>General</c:formatCode>
                <c:ptCount val="4"/>
                <c:pt idx="0">
                  <c:v>0.32</c:v>
                </c:pt>
                <c:pt idx="1">
                  <c:v>0.42</c:v>
                </c:pt>
                <c:pt idx="2">
                  <c:v>4.298</c:v>
                </c:pt>
                <c:pt idx="3">
                  <c:v>8.7219999999999995</c:v>
                </c:pt>
              </c:numCache>
            </c:numRef>
          </c:val>
        </c:ser>
        <c:dLbls>
          <c:showLegendKey val="0"/>
          <c:showVal val="0"/>
          <c:showCatName val="0"/>
          <c:showSerName val="0"/>
          <c:showPercent val="0"/>
          <c:showBubbleSize val="0"/>
        </c:dLbls>
        <c:gapWidth val="219"/>
        <c:overlap val="-27"/>
        <c:axId val="361739312"/>
        <c:axId val="361739872"/>
      </c:barChart>
      <c:catAx>
        <c:axId val="361739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Number of matchings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1739872"/>
        <c:crosses val="autoZero"/>
        <c:auto val="1"/>
        <c:lblAlgn val="ctr"/>
        <c:lblOffset val="100"/>
        <c:noMultiLvlLbl val="0"/>
      </c:catAx>
      <c:valAx>
        <c:axId val="361739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173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800" b="0" i="0" baseline="0">
                <a:effectLst/>
              </a:rPr>
              <a:t>Performance evaluation</a:t>
            </a:r>
            <a:endParaRPr lang="fr-FR">
              <a:effectLst/>
            </a:endParaRPr>
          </a:p>
          <a:p>
            <a:pPr>
              <a:defRPr/>
            </a:pPr>
            <a:r>
              <a:rPr lang="fr-FR" sz="1100" b="0" i="0" baseline="0">
                <a:effectLst/>
              </a:rPr>
              <a:t>Queries with 4 abstract services</a:t>
            </a:r>
            <a:endParaRPr lang="fr-F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Plan1!$A$14</c:f>
              <c:strCache>
                <c:ptCount val="1"/>
                <c:pt idx="0">
                  <c:v>Reusing</c:v>
                </c:pt>
              </c:strCache>
            </c:strRef>
          </c:tx>
          <c:spPr>
            <a:solidFill>
              <a:schemeClr val="accent1"/>
            </a:solidFill>
            <a:ln>
              <a:noFill/>
            </a:ln>
            <a:effectLst/>
          </c:spPr>
          <c:invertIfNegative val="0"/>
          <c:cat>
            <c:numRef>
              <c:f>Plan1!$B$13:$E$13</c:f>
              <c:numCache>
                <c:formatCode>General</c:formatCode>
                <c:ptCount val="4"/>
                <c:pt idx="0">
                  <c:v>100</c:v>
                </c:pt>
                <c:pt idx="1">
                  <c:v>200</c:v>
                </c:pt>
                <c:pt idx="2">
                  <c:v>300</c:v>
                </c:pt>
                <c:pt idx="3">
                  <c:v>500</c:v>
                </c:pt>
              </c:numCache>
            </c:numRef>
          </c:cat>
          <c:val>
            <c:numRef>
              <c:f>Plan1!$B$14:$E$14</c:f>
              <c:numCache>
                <c:formatCode>General</c:formatCode>
                <c:ptCount val="4"/>
                <c:pt idx="0">
                  <c:v>0.02</c:v>
                </c:pt>
                <c:pt idx="1">
                  <c:v>3.1E-2</c:v>
                </c:pt>
                <c:pt idx="2">
                  <c:v>0.04</c:v>
                </c:pt>
                <c:pt idx="3">
                  <c:v>0.04</c:v>
                </c:pt>
              </c:numCache>
            </c:numRef>
          </c:val>
        </c:ser>
        <c:ser>
          <c:idx val="1"/>
          <c:order val="1"/>
          <c:tx>
            <c:strRef>
              <c:f>Plan1!$A$15</c:f>
              <c:strCache>
                <c:ptCount val="1"/>
                <c:pt idx="0">
                  <c:v>Rewriting</c:v>
                </c:pt>
              </c:strCache>
            </c:strRef>
          </c:tx>
          <c:spPr>
            <a:solidFill>
              <a:schemeClr val="accent2"/>
            </a:solidFill>
            <a:ln>
              <a:noFill/>
            </a:ln>
            <a:effectLst/>
          </c:spPr>
          <c:invertIfNegative val="0"/>
          <c:cat>
            <c:numRef>
              <c:f>Plan1!$B$13:$E$13</c:f>
              <c:numCache>
                <c:formatCode>General</c:formatCode>
                <c:ptCount val="4"/>
                <c:pt idx="0">
                  <c:v>100</c:v>
                </c:pt>
                <c:pt idx="1">
                  <c:v>200</c:v>
                </c:pt>
                <c:pt idx="2">
                  <c:v>300</c:v>
                </c:pt>
                <c:pt idx="3">
                  <c:v>500</c:v>
                </c:pt>
              </c:numCache>
            </c:numRef>
          </c:cat>
          <c:val>
            <c:numRef>
              <c:f>Plan1!$B$15:$E$15</c:f>
              <c:numCache>
                <c:formatCode>General</c:formatCode>
                <c:ptCount val="4"/>
                <c:pt idx="0">
                  <c:v>1.83</c:v>
                </c:pt>
                <c:pt idx="1">
                  <c:v>22.931999999999999</c:v>
                </c:pt>
                <c:pt idx="2">
                  <c:v>46.085000000000001</c:v>
                </c:pt>
                <c:pt idx="3">
                  <c:v>726.53700000000003</c:v>
                </c:pt>
              </c:numCache>
            </c:numRef>
          </c:val>
        </c:ser>
        <c:dLbls>
          <c:showLegendKey val="0"/>
          <c:showVal val="0"/>
          <c:showCatName val="0"/>
          <c:showSerName val="0"/>
          <c:showPercent val="0"/>
          <c:showBubbleSize val="0"/>
        </c:dLbls>
        <c:gapWidth val="219"/>
        <c:overlap val="-27"/>
        <c:axId val="281100400"/>
        <c:axId val="281100960"/>
      </c:barChart>
      <c:catAx>
        <c:axId val="281100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Number of matchings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1100960"/>
        <c:crosses val="autoZero"/>
        <c:auto val="1"/>
        <c:lblAlgn val="ctr"/>
        <c:lblOffset val="100"/>
        <c:noMultiLvlLbl val="0"/>
      </c:catAx>
      <c:valAx>
        <c:axId val="281100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1100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800" b="0" i="0" baseline="0">
                <a:effectLst/>
              </a:rPr>
              <a:t>Performance evaluation</a:t>
            </a:r>
            <a:endParaRPr lang="fr-FR">
              <a:effectLst/>
            </a:endParaRPr>
          </a:p>
          <a:p>
            <a:pPr>
              <a:defRPr/>
            </a:pPr>
            <a:r>
              <a:rPr lang="fr-FR" sz="1100" b="0" i="0" baseline="0">
                <a:effectLst/>
              </a:rPr>
              <a:t>Queries with 5 abstract services</a:t>
            </a:r>
            <a:endParaRPr lang="fr-FR"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Plan1!$A$19</c:f>
              <c:strCache>
                <c:ptCount val="1"/>
                <c:pt idx="0">
                  <c:v>Reusing</c:v>
                </c:pt>
              </c:strCache>
            </c:strRef>
          </c:tx>
          <c:spPr>
            <a:solidFill>
              <a:schemeClr val="accent1"/>
            </a:solidFill>
            <a:ln>
              <a:noFill/>
            </a:ln>
            <a:effectLst/>
          </c:spPr>
          <c:invertIfNegative val="0"/>
          <c:cat>
            <c:numRef>
              <c:f>Plan1!$B$18:$E$18</c:f>
              <c:numCache>
                <c:formatCode>General</c:formatCode>
                <c:ptCount val="4"/>
                <c:pt idx="0">
                  <c:v>100</c:v>
                </c:pt>
                <c:pt idx="1">
                  <c:v>200</c:v>
                </c:pt>
                <c:pt idx="2">
                  <c:v>300</c:v>
                </c:pt>
                <c:pt idx="3">
                  <c:v>500</c:v>
                </c:pt>
              </c:numCache>
            </c:numRef>
          </c:cat>
          <c:val>
            <c:numRef>
              <c:f>Plan1!$B$19:$E$19</c:f>
              <c:numCache>
                <c:formatCode>General</c:formatCode>
                <c:ptCount val="4"/>
                <c:pt idx="0">
                  <c:v>0.02</c:v>
                </c:pt>
                <c:pt idx="1">
                  <c:v>3.5000000000000003E-2</c:v>
                </c:pt>
                <c:pt idx="2">
                  <c:v>0.04</c:v>
                </c:pt>
                <c:pt idx="3">
                  <c:v>4.4999999999999998E-2</c:v>
                </c:pt>
              </c:numCache>
            </c:numRef>
          </c:val>
        </c:ser>
        <c:ser>
          <c:idx val="1"/>
          <c:order val="1"/>
          <c:tx>
            <c:strRef>
              <c:f>Plan1!$A$20</c:f>
              <c:strCache>
                <c:ptCount val="1"/>
                <c:pt idx="0">
                  <c:v>Rewriting</c:v>
                </c:pt>
              </c:strCache>
            </c:strRef>
          </c:tx>
          <c:spPr>
            <a:solidFill>
              <a:schemeClr val="accent2"/>
            </a:solidFill>
            <a:ln>
              <a:noFill/>
            </a:ln>
            <a:effectLst/>
          </c:spPr>
          <c:invertIfNegative val="0"/>
          <c:cat>
            <c:numRef>
              <c:f>Plan1!$B$18:$E$18</c:f>
              <c:numCache>
                <c:formatCode>General</c:formatCode>
                <c:ptCount val="4"/>
                <c:pt idx="0">
                  <c:v>100</c:v>
                </c:pt>
                <c:pt idx="1">
                  <c:v>200</c:v>
                </c:pt>
                <c:pt idx="2">
                  <c:v>300</c:v>
                </c:pt>
                <c:pt idx="3">
                  <c:v>500</c:v>
                </c:pt>
              </c:numCache>
            </c:numRef>
          </c:cat>
          <c:val>
            <c:numRef>
              <c:f>Plan1!$B$20:$E$20</c:f>
              <c:numCache>
                <c:formatCode>General</c:formatCode>
                <c:ptCount val="4"/>
                <c:pt idx="0">
                  <c:v>11.5</c:v>
                </c:pt>
                <c:pt idx="1">
                  <c:v>276.42899999999997</c:v>
                </c:pt>
                <c:pt idx="2">
                  <c:v>2201.7469999999998</c:v>
                </c:pt>
                <c:pt idx="3">
                  <c:v>17346.91</c:v>
                </c:pt>
              </c:numCache>
            </c:numRef>
          </c:val>
        </c:ser>
        <c:dLbls>
          <c:showLegendKey val="0"/>
          <c:showVal val="0"/>
          <c:showCatName val="0"/>
          <c:showSerName val="0"/>
          <c:showPercent val="0"/>
          <c:showBubbleSize val="0"/>
        </c:dLbls>
        <c:gapWidth val="219"/>
        <c:overlap val="-27"/>
        <c:axId val="274428192"/>
        <c:axId val="274428752"/>
      </c:barChart>
      <c:catAx>
        <c:axId val="274428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Number of matchings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74428752"/>
        <c:crosses val="autoZero"/>
        <c:auto val="1"/>
        <c:lblAlgn val="ctr"/>
        <c:lblOffset val="100"/>
        <c:noMultiLvlLbl val="0"/>
      </c:catAx>
      <c:valAx>
        <c:axId val="274428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74428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89</Words>
  <Characters>495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2017-04-18T21:36:00Z</dcterms:created>
  <dcterms:modified xsi:type="dcterms:W3CDTF">2017-04-18T21:48:00Z</dcterms:modified>
</cp:coreProperties>
</file>