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9A" w:rsidRPr="0028664D" w:rsidRDefault="0028664D" w:rsidP="0028664D">
      <w:pPr>
        <w:jc w:val="center"/>
        <w:rPr>
          <w:rFonts w:ascii="Baskerville Old Face" w:hAnsi="Baskerville Old Face"/>
          <w:b/>
          <w:sz w:val="24"/>
          <w:szCs w:val="24"/>
          <w:lang w:val="en-US"/>
        </w:rPr>
      </w:pPr>
      <w:r w:rsidRPr="0028664D">
        <w:rPr>
          <w:rFonts w:ascii="Baskerville Old Face" w:hAnsi="Baskerville Old Face"/>
          <w:b/>
          <w:sz w:val="24"/>
          <w:szCs w:val="24"/>
          <w:lang w:val="en-US"/>
        </w:rPr>
        <w:t>REPORT 27 JUNE</w:t>
      </w:r>
    </w:p>
    <w:p w:rsidR="0028664D" w:rsidRPr="0028664D" w:rsidRDefault="0028664D" w:rsidP="0028664D">
      <w:pPr>
        <w:jc w:val="center"/>
        <w:rPr>
          <w:rFonts w:ascii="Baskerville Old Face" w:hAnsi="Baskerville Old Face"/>
          <w:b/>
          <w:sz w:val="24"/>
          <w:szCs w:val="24"/>
          <w:u w:val="single"/>
          <w:lang w:val="en-US"/>
        </w:rPr>
      </w:pPr>
      <w:r w:rsidRPr="0028664D">
        <w:rPr>
          <w:rFonts w:ascii="Baskerville Old Face" w:hAnsi="Baskerville Old Face"/>
          <w:b/>
          <w:sz w:val="24"/>
          <w:szCs w:val="24"/>
          <w:u w:val="single"/>
          <w:lang w:val="en-US"/>
        </w:rPr>
        <w:t>Meta-process and Process description</w:t>
      </w:r>
    </w:p>
    <w:p w:rsidR="0028664D" w:rsidRDefault="0028664D">
      <w:pPr>
        <w:rPr>
          <w:rFonts w:ascii="Baskerville Old Face" w:hAnsi="Baskerville Old Face"/>
          <w:sz w:val="24"/>
          <w:szCs w:val="24"/>
          <w:lang w:val="en-US"/>
        </w:rPr>
      </w:pPr>
    </w:p>
    <w:p w:rsidR="00691538" w:rsidRDefault="0028664D" w:rsidP="00691538">
      <w:pPr>
        <w:keepNext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 figure 1 illustrates our </w:t>
      </w:r>
      <w:r w:rsidR="00691538">
        <w:rPr>
          <w:rFonts w:ascii="Baskerville Old Face" w:hAnsi="Baskerville Old Face"/>
          <w:sz w:val="24"/>
          <w:szCs w:val="24"/>
          <w:lang w:val="en-US"/>
        </w:rPr>
        <w:t xml:space="preserve">data integration </w:t>
      </w:r>
      <w:r>
        <w:rPr>
          <w:rFonts w:ascii="Baskerville Old Face" w:hAnsi="Baskerville Old Face"/>
          <w:sz w:val="24"/>
          <w:szCs w:val="24"/>
          <w:lang w:val="en-US"/>
        </w:rPr>
        <w:t>meta-process.</w:t>
      </w:r>
      <w:r w:rsidR="00691538">
        <w:rPr>
          <w:rFonts w:ascii="Baskerville Old Face" w:hAnsi="Baskerville Old Face"/>
          <w:sz w:val="24"/>
          <w:szCs w:val="24"/>
          <w:lang w:val="en-US"/>
        </w:rPr>
        <w:t xml:space="preserve"> Three general steps compose it: query management, SLA management and query rewriting. Each step in the meta-process inc</w:t>
      </w:r>
      <w:r w:rsidR="00F052C7">
        <w:rPr>
          <w:rFonts w:ascii="Baskerville Old Face" w:hAnsi="Baskerville Old Face"/>
          <w:sz w:val="24"/>
          <w:szCs w:val="24"/>
          <w:lang w:val="en-US"/>
        </w:rPr>
        <w:t>ludes different actions</w:t>
      </w:r>
      <w:r w:rsidR="00691538">
        <w:rPr>
          <w:rFonts w:ascii="Baskerville Old Face" w:hAnsi="Baskerville Old Face"/>
          <w:sz w:val="24"/>
          <w:szCs w:val="24"/>
          <w:lang w:val="en-US"/>
        </w:rPr>
        <w:t xml:space="preserve"> used to define our data integration process (Figure 2).</w:t>
      </w:r>
    </w:p>
    <w:p w:rsidR="00221D0F" w:rsidRDefault="00221D0F" w:rsidP="00691538">
      <w:pPr>
        <w:keepNext/>
        <w:jc w:val="both"/>
        <w:rPr>
          <w:rFonts w:ascii="Baskerville Old Face" w:hAnsi="Baskerville Old Face"/>
          <w:sz w:val="24"/>
          <w:szCs w:val="24"/>
          <w:lang w:val="en-US"/>
        </w:rPr>
      </w:pPr>
    </w:p>
    <w:p w:rsidR="0028664D" w:rsidRPr="0028664D" w:rsidRDefault="0028664D" w:rsidP="00691538">
      <w:pPr>
        <w:keepNext/>
        <w:jc w:val="both"/>
        <w:rPr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fr-FR"/>
        </w:rPr>
        <w:drawing>
          <wp:inline distT="0" distB="0" distL="0" distR="0" wp14:anchorId="5B839C95" wp14:editId="631AF2D8">
            <wp:extent cx="5760720" cy="716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-process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8664D" w:rsidRDefault="0028664D" w:rsidP="00691538">
      <w:pPr>
        <w:pStyle w:val="Legenda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Meta-process</w:t>
      </w:r>
    </w:p>
    <w:p w:rsidR="0028664D" w:rsidRDefault="0028664D" w:rsidP="00691538">
      <w:pPr>
        <w:jc w:val="both"/>
        <w:rPr>
          <w:rFonts w:ascii="Baskerville Old Face" w:hAnsi="Baskerville Old Face"/>
          <w:sz w:val="24"/>
          <w:szCs w:val="24"/>
          <w:lang w:val="en-US"/>
        </w:rPr>
      </w:pPr>
    </w:p>
    <w:p w:rsidR="00F052C7" w:rsidRDefault="00685A0E" w:rsidP="00221D0F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The query management step includes activities concerning the query specification and preferences definition according to the user.</w:t>
      </w:r>
      <w:r w:rsidR="005E1727">
        <w:rPr>
          <w:rFonts w:ascii="Baskerville Old Face" w:hAnsi="Baskerville Old Face"/>
          <w:sz w:val="24"/>
          <w:szCs w:val="24"/>
          <w:lang w:val="en-US"/>
        </w:rPr>
        <w:t xml:space="preserve"> The SLA management includes a set of activities associated to the SLA manipulation. Such as: search for previous integration SLA, create a new integration SLA, </w:t>
      </w:r>
      <w:r w:rsidR="00261CC9">
        <w:rPr>
          <w:rFonts w:ascii="Baskerville Old Face" w:hAnsi="Baskerville Old Face"/>
          <w:sz w:val="24"/>
          <w:szCs w:val="24"/>
          <w:lang w:val="en-US"/>
        </w:rPr>
        <w:t xml:space="preserve">reuse an integration SLA, </w:t>
      </w:r>
      <w:r w:rsidR="00875E25">
        <w:rPr>
          <w:rFonts w:ascii="Baskerville Old Face" w:hAnsi="Baskerville Old Face"/>
          <w:sz w:val="24"/>
          <w:szCs w:val="24"/>
          <w:lang w:val="en-US"/>
        </w:rPr>
        <w:t xml:space="preserve">SLA enforcement, </w:t>
      </w:r>
      <w:r w:rsidR="00261CC9">
        <w:rPr>
          <w:rFonts w:ascii="Baskerville Old Face" w:hAnsi="Baskerville Old Face"/>
          <w:sz w:val="24"/>
          <w:szCs w:val="24"/>
          <w:lang w:val="en-US"/>
        </w:rPr>
        <w:t>update an integration SLA and store an integration SLA. The query rewriting include</w:t>
      </w:r>
      <w:r w:rsidR="00D76D82">
        <w:rPr>
          <w:rFonts w:ascii="Baskerville Old Face" w:hAnsi="Baskerville Old Face"/>
          <w:sz w:val="24"/>
          <w:szCs w:val="24"/>
          <w:lang w:val="en-US"/>
        </w:rPr>
        <w:t>s</w:t>
      </w:r>
      <w:r w:rsidR="00261CC9">
        <w:rPr>
          <w:rFonts w:ascii="Baskerville Old Face" w:hAnsi="Baskerville Old Face"/>
          <w:sz w:val="24"/>
          <w:szCs w:val="24"/>
          <w:lang w:val="en-US"/>
        </w:rPr>
        <w:t xml:space="preserve"> activities</w:t>
      </w:r>
      <w:r w:rsidR="00803045">
        <w:rPr>
          <w:rFonts w:ascii="Baskerville Old Face" w:hAnsi="Baskerville Old Face"/>
          <w:sz w:val="24"/>
          <w:szCs w:val="24"/>
          <w:lang w:val="en-US"/>
        </w:rPr>
        <w:t xml:space="preserve"> concerning the rewriting process according to the user requirements and the characteristics, and constraints of each entity in our data integration metamodel. Such as: search for data producers, filter data producers according to the SLAs, generate integration plan</w:t>
      </w:r>
      <w:r w:rsidR="00875E25">
        <w:rPr>
          <w:rFonts w:ascii="Baskerville Old Face" w:hAnsi="Baskerville Old Face"/>
          <w:sz w:val="24"/>
          <w:szCs w:val="24"/>
          <w:lang w:val="en-US"/>
        </w:rPr>
        <w:t>, execute integration plan, retrieve data, integrate results and deliver results.</w:t>
      </w:r>
    </w:p>
    <w:p w:rsidR="00221D0F" w:rsidRDefault="00221D0F" w:rsidP="00691538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ab/>
        <w:t xml:space="preserve">The data integration process described in the figure 2 uses the activities defined by the meta-process. </w:t>
      </w:r>
      <w:r w:rsidR="00B53BC7">
        <w:rPr>
          <w:rFonts w:ascii="Baskerville Old Face" w:hAnsi="Baskerville Old Face"/>
          <w:sz w:val="24"/>
          <w:szCs w:val="24"/>
          <w:lang w:val="en-US"/>
        </w:rPr>
        <w:t>Firstly, a user specifies his/her query according to his/her needs. In addition, he/she also defines a set of preferences and associate them to the query.</w:t>
      </w:r>
      <w:r w:rsidR="00FE1557">
        <w:rPr>
          <w:rFonts w:ascii="Baskerville Old Face" w:hAnsi="Baskerville Old Face"/>
          <w:sz w:val="24"/>
          <w:szCs w:val="24"/>
          <w:lang w:val="en-US"/>
        </w:rPr>
        <w:t xml:space="preserve"> Given a query and user preferences, a search for previous integration SLAs (that are associated to a previous integration) that matches with the actual query and </w:t>
      </w:r>
      <w:r w:rsidR="00012EC6">
        <w:rPr>
          <w:rFonts w:ascii="Baskerville Old Face" w:hAnsi="Baskerville Old Face"/>
          <w:sz w:val="24"/>
          <w:szCs w:val="24"/>
          <w:lang w:val="en-US"/>
        </w:rPr>
        <w:t xml:space="preserve">preferences </w:t>
      </w:r>
      <w:r w:rsidR="00FE1557">
        <w:rPr>
          <w:rFonts w:ascii="Baskerville Old Face" w:hAnsi="Baskerville Old Face"/>
          <w:sz w:val="24"/>
          <w:szCs w:val="24"/>
          <w:lang w:val="en-US"/>
        </w:rPr>
        <w:t>is proceeded</w:t>
      </w:r>
      <w:r w:rsidR="00012EC6">
        <w:rPr>
          <w:rFonts w:ascii="Baskerville Old Face" w:hAnsi="Baskerville Old Face"/>
          <w:sz w:val="24"/>
          <w:szCs w:val="24"/>
          <w:lang w:val="en-US"/>
        </w:rPr>
        <w:t xml:space="preserve">. If a match </w:t>
      </w:r>
      <w:proofErr w:type="gramStart"/>
      <w:r w:rsidR="00012EC6">
        <w:rPr>
          <w:rFonts w:ascii="Baskerville Old Face" w:hAnsi="Baskerville Old Face"/>
          <w:sz w:val="24"/>
          <w:szCs w:val="24"/>
          <w:lang w:val="en-US"/>
        </w:rPr>
        <w:t>is found</w:t>
      </w:r>
      <w:proofErr w:type="gramEnd"/>
      <w:r w:rsidR="00012EC6">
        <w:rPr>
          <w:rFonts w:ascii="Baskerville Old Face" w:hAnsi="Baskerville Old Face"/>
          <w:sz w:val="24"/>
          <w:szCs w:val="24"/>
          <w:lang w:val="en-US"/>
        </w:rPr>
        <w:t xml:space="preserve">, the information about this previous integration is reused and a new integration SLA is created using this information. If no match </w:t>
      </w:r>
      <w:proofErr w:type="gramStart"/>
      <w:r w:rsidR="00012EC6">
        <w:rPr>
          <w:rFonts w:ascii="Baskerville Old Face" w:hAnsi="Baskerville Old Face"/>
          <w:sz w:val="24"/>
          <w:szCs w:val="24"/>
          <w:lang w:val="en-US"/>
        </w:rPr>
        <w:t>is found</w:t>
      </w:r>
      <w:proofErr w:type="gramEnd"/>
      <w:r w:rsidR="00012EC6">
        <w:rPr>
          <w:rFonts w:ascii="Baskerville Old Face" w:hAnsi="Baskerville Old Face"/>
          <w:sz w:val="24"/>
          <w:szCs w:val="24"/>
          <w:lang w:val="en-US"/>
        </w:rPr>
        <w:t>, a new integration SLA is created without any previous information.</w:t>
      </w:r>
      <w:r w:rsidR="00E01DF6">
        <w:rPr>
          <w:rFonts w:ascii="Baskerville Old Face" w:hAnsi="Baskerville Old Face"/>
          <w:sz w:val="24"/>
          <w:szCs w:val="24"/>
          <w:lang w:val="en-US"/>
        </w:rPr>
        <w:t xml:space="preserve"> Then, a set of query rewriting activities </w:t>
      </w:r>
      <w:proofErr w:type="gramStart"/>
      <w:r w:rsidR="00E01DF6">
        <w:rPr>
          <w:rFonts w:ascii="Baskerville Old Face" w:hAnsi="Baskerville Old Face"/>
          <w:sz w:val="24"/>
          <w:szCs w:val="24"/>
          <w:lang w:val="en-US"/>
        </w:rPr>
        <w:t>are performed</w:t>
      </w:r>
      <w:proofErr w:type="gramEnd"/>
      <w:r w:rsidR="00E01DF6">
        <w:rPr>
          <w:rFonts w:ascii="Baskerville Old Face" w:hAnsi="Baskerville Old Face"/>
          <w:sz w:val="24"/>
          <w:szCs w:val="24"/>
          <w:lang w:val="en-US"/>
        </w:rPr>
        <w:t xml:space="preserve"> to generate the execution plan. Results </w:t>
      </w:r>
      <w:proofErr w:type="gramStart"/>
      <w:r w:rsidR="00E01DF6">
        <w:rPr>
          <w:rFonts w:ascii="Baskerville Old Face" w:hAnsi="Baskerville Old Face"/>
          <w:sz w:val="24"/>
          <w:szCs w:val="24"/>
          <w:lang w:val="en-US"/>
        </w:rPr>
        <w:t>are computed</w:t>
      </w:r>
      <w:proofErr w:type="gramEnd"/>
      <w:r w:rsidR="00E01DF6">
        <w:rPr>
          <w:rFonts w:ascii="Baskerville Old Face" w:hAnsi="Baskerville Old Face"/>
          <w:sz w:val="24"/>
          <w:szCs w:val="24"/>
          <w:lang w:val="en-US"/>
        </w:rPr>
        <w:t xml:space="preserve"> and the integration SLA is updated and stored to be used in a next integration request.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The query rewriting activities sub-process </w:t>
      </w:r>
      <w:r w:rsidR="00D76D82">
        <w:rPr>
          <w:rFonts w:ascii="Baskerville Old Face" w:hAnsi="Baskerville Old Face"/>
          <w:sz w:val="24"/>
          <w:szCs w:val="24"/>
          <w:lang w:val="en-US"/>
        </w:rPr>
        <w:t>include (i) searching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for data producers</w:t>
      </w:r>
      <w:r w:rsidR="00D76D82">
        <w:rPr>
          <w:rFonts w:ascii="Baskerville Old Face" w:hAnsi="Baskerville Old Face"/>
          <w:sz w:val="24"/>
          <w:szCs w:val="24"/>
          <w:lang w:val="en-US"/>
        </w:rPr>
        <w:t xml:space="preserve"> that can produce an answer to the query; 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D76D82">
        <w:rPr>
          <w:rFonts w:ascii="Baskerville Old Face" w:hAnsi="Baskerville Old Face"/>
          <w:sz w:val="24"/>
          <w:szCs w:val="24"/>
          <w:lang w:val="en-US"/>
        </w:rPr>
        <w:t xml:space="preserve">(ii) </w:t>
      </w:r>
      <w:r w:rsidR="00C46179">
        <w:rPr>
          <w:rFonts w:ascii="Baskerville Old Face" w:hAnsi="Baskerville Old Face"/>
          <w:sz w:val="24"/>
          <w:szCs w:val="24"/>
          <w:lang w:val="en-US"/>
        </w:rPr>
        <w:t>filter</w:t>
      </w:r>
      <w:r w:rsidR="00D76D82">
        <w:rPr>
          <w:rFonts w:ascii="Baskerville Old Face" w:hAnsi="Baskerville Old Face"/>
          <w:sz w:val="24"/>
          <w:szCs w:val="24"/>
          <w:lang w:val="en-US"/>
        </w:rPr>
        <w:t>ing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D76D82">
        <w:rPr>
          <w:rFonts w:ascii="Baskerville Old Face" w:hAnsi="Baskerville Old Face"/>
          <w:sz w:val="24"/>
          <w:szCs w:val="24"/>
          <w:lang w:val="en-US"/>
        </w:rPr>
        <w:t>data producers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according to </w:t>
      </w:r>
      <w:r w:rsidR="00D76D82">
        <w:rPr>
          <w:rFonts w:ascii="Baskerville Old Face" w:hAnsi="Baskerville Old Face"/>
          <w:sz w:val="24"/>
          <w:szCs w:val="24"/>
          <w:lang w:val="en-US"/>
        </w:rPr>
        <w:t>the user preferences</w:t>
      </w:r>
      <w:r w:rsidR="00C639C5">
        <w:rPr>
          <w:rFonts w:ascii="Baskerville Old Face" w:hAnsi="Baskerville Old Face"/>
          <w:sz w:val="24"/>
          <w:szCs w:val="24"/>
          <w:lang w:val="en-US"/>
        </w:rPr>
        <w:t>, to the consumer SLAs</w:t>
      </w:r>
      <w:r w:rsidR="00D76D82">
        <w:rPr>
          <w:rFonts w:ascii="Baskerville Old Face" w:hAnsi="Baskerville Old Face"/>
          <w:sz w:val="24"/>
          <w:szCs w:val="24"/>
          <w:lang w:val="en-US"/>
        </w:rPr>
        <w:t xml:space="preserve"> and </w:t>
      </w:r>
      <w:r w:rsidR="00C639C5">
        <w:rPr>
          <w:rFonts w:ascii="Baskerville Old Face" w:hAnsi="Baskerville Old Face"/>
          <w:sz w:val="24"/>
          <w:szCs w:val="24"/>
          <w:lang w:val="en-US"/>
        </w:rPr>
        <w:t>to the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C639C5">
        <w:rPr>
          <w:rFonts w:ascii="Baskerville Old Face" w:hAnsi="Baskerville Old Face"/>
          <w:sz w:val="24"/>
          <w:szCs w:val="24"/>
          <w:lang w:val="en-US"/>
        </w:rPr>
        <w:t xml:space="preserve">producer </w:t>
      </w:r>
      <w:r w:rsidR="00C46179">
        <w:rPr>
          <w:rFonts w:ascii="Baskerville Old Face" w:hAnsi="Baskerville Old Face"/>
          <w:sz w:val="24"/>
          <w:szCs w:val="24"/>
          <w:lang w:val="en-US"/>
        </w:rPr>
        <w:t>SLAs</w:t>
      </w:r>
      <w:r w:rsidR="00D76D82">
        <w:rPr>
          <w:rFonts w:ascii="Baskerville Old Face" w:hAnsi="Baskerville Old Face"/>
          <w:sz w:val="24"/>
          <w:szCs w:val="24"/>
          <w:lang w:val="en-US"/>
        </w:rPr>
        <w:t xml:space="preserve">. This means it is necessary to verify if the </w:t>
      </w:r>
      <w:r w:rsidR="00C639C5">
        <w:rPr>
          <w:rFonts w:ascii="Baskerville Old Face" w:hAnsi="Baskerville Old Face"/>
          <w:sz w:val="24"/>
          <w:szCs w:val="24"/>
          <w:lang w:val="en-US"/>
        </w:rPr>
        <w:t>data producer is out of resources or not, and if the consumer has enough resources to process the data provided by the producer; (iii) generating</w:t>
      </w:r>
      <w:r w:rsidR="00C46179">
        <w:rPr>
          <w:rFonts w:ascii="Baskerville Old Face" w:hAnsi="Baskerville Old Face"/>
          <w:sz w:val="24"/>
          <w:szCs w:val="24"/>
          <w:lang w:val="en-US"/>
        </w:rPr>
        <w:t xml:space="preserve"> the execution plan</w:t>
      </w:r>
      <w:r w:rsidR="00414C8F">
        <w:rPr>
          <w:rFonts w:ascii="Baskerville Old Face" w:hAnsi="Baskerville Old Face"/>
          <w:sz w:val="24"/>
          <w:szCs w:val="24"/>
          <w:lang w:val="en-US"/>
        </w:rPr>
        <w:t xml:space="preserve"> according to the SLAs;</w:t>
      </w:r>
      <w:r w:rsidR="00A46E9F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414C8F">
        <w:rPr>
          <w:rFonts w:ascii="Baskerville Old Face" w:hAnsi="Baskerville Old Face"/>
          <w:sz w:val="24"/>
          <w:szCs w:val="24"/>
          <w:lang w:val="en-US"/>
        </w:rPr>
        <w:t>(</w:t>
      </w:r>
      <w:proofErr w:type="gramStart"/>
      <w:r w:rsidR="00414C8F">
        <w:rPr>
          <w:rFonts w:ascii="Baskerville Old Face" w:hAnsi="Baskerville Old Face"/>
          <w:sz w:val="24"/>
          <w:szCs w:val="24"/>
          <w:lang w:val="en-US"/>
        </w:rPr>
        <w:t>iv</w:t>
      </w:r>
      <w:proofErr w:type="gramEnd"/>
      <w:r w:rsidR="00414C8F">
        <w:rPr>
          <w:rFonts w:ascii="Baskerville Old Face" w:hAnsi="Baskerville Old Face"/>
          <w:sz w:val="24"/>
          <w:szCs w:val="24"/>
          <w:lang w:val="en-US"/>
        </w:rPr>
        <w:t>) enforcing</w:t>
      </w:r>
      <w:r w:rsidR="00A46E9F">
        <w:rPr>
          <w:rFonts w:ascii="Baskerville Old Face" w:hAnsi="Baskerville Old Face"/>
          <w:sz w:val="24"/>
          <w:szCs w:val="24"/>
          <w:lang w:val="en-US"/>
        </w:rPr>
        <w:t xml:space="preserve"> the SLAs associated to the involved services</w:t>
      </w:r>
      <w:r w:rsidR="00414C8F">
        <w:rPr>
          <w:rFonts w:ascii="Baskerville Old Face" w:hAnsi="Baskerville Old Face"/>
          <w:sz w:val="24"/>
          <w:szCs w:val="24"/>
          <w:lang w:val="en-US"/>
        </w:rPr>
        <w:t>;</w:t>
      </w:r>
      <w:r w:rsidR="00A46E9F">
        <w:rPr>
          <w:rFonts w:ascii="Baskerville Old Face" w:hAnsi="Baskerville Old Face"/>
          <w:sz w:val="24"/>
          <w:szCs w:val="24"/>
          <w:lang w:val="en-US"/>
        </w:rPr>
        <w:t xml:space="preserve"> and </w:t>
      </w:r>
      <w:r w:rsidR="00414C8F">
        <w:rPr>
          <w:rFonts w:ascii="Baskerville Old Face" w:hAnsi="Baskerville Old Face"/>
          <w:sz w:val="24"/>
          <w:szCs w:val="24"/>
          <w:lang w:val="en-US"/>
        </w:rPr>
        <w:t>(v) executing</w:t>
      </w:r>
      <w:bookmarkStart w:id="0" w:name="_GoBack"/>
      <w:bookmarkEnd w:id="0"/>
      <w:r w:rsidR="00A46E9F">
        <w:rPr>
          <w:rFonts w:ascii="Baskerville Old Face" w:hAnsi="Baskerville Old Face"/>
          <w:sz w:val="24"/>
          <w:szCs w:val="24"/>
          <w:lang w:val="en-US"/>
        </w:rPr>
        <w:t xml:space="preserve"> the integration plan. Computing results sub-process retrieves data, integrates results and deliver them.</w:t>
      </w:r>
    </w:p>
    <w:p w:rsidR="0028664D" w:rsidRDefault="0028664D" w:rsidP="00691538">
      <w:pPr>
        <w:keepNext/>
        <w:jc w:val="both"/>
      </w:pPr>
      <w:r>
        <w:rPr>
          <w:rFonts w:ascii="Baskerville Old Face" w:hAnsi="Baskerville Old Face"/>
          <w:noProof/>
          <w:sz w:val="24"/>
          <w:szCs w:val="24"/>
          <w:lang w:eastAsia="fr-FR"/>
        </w:rPr>
        <w:lastRenderedPageBreak/>
        <w:drawing>
          <wp:inline distT="0" distB="0" distL="0" distR="0" wp14:anchorId="70B2B186" wp14:editId="125163AF">
            <wp:extent cx="5760442" cy="50641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o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42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4D" w:rsidRPr="0028664D" w:rsidRDefault="0028664D" w:rsidP="00691538">
      <w:pPr>
        <w:pStyle w:val="Legenda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Process</w:t>
      </w:r>
    </w:p>
    <w:sectPr w:rsidR="0028664D" w:rsidRPr="0028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90"/>
    <w:rsid w:val="00012EC6"/>
    <w:rsid w:val="000B3783"/>
    <w:rsid w:val="00221D0F"/>
    <w:rsid w:val="00261CC9"/>
    <w:rsid w:val="0028664D"/>
    <w:rsid w:val="00414C8F"/>
    <w:rsid w:val="005E1727"/>
    <w:rsid w:val="00685A0E"/>
    <w:rsid w:val="00691538"/>
    <w:rsid w:val="00803045"/>
    <w:rsid w:val="00824C9A"/>
    <w:rsid w:val="00875E25"/>
    <w:rsid w:val="00917390"/>
    <w:rsid w:val="00A46E9F"/>
    <w:rsid w:val="00B53BC7"/>
    <w:rsid w:val="00C46179"/>
    <w:rsid w:val="00C639C5"/>
    <w:rsid w:val="00D76D82"/>
    <w:rsid w:val="00E01DF6"/>
    <w:rsid w:val="00F052C7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7B608-6411-49CE-8AFF-1A5EB4BD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866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2016-06-27T07:57:00Z</dcterms:created>
  <dcterms:modified xsi:type="dcterms:W3CDTF">2016-06-27T12:01:00Z</dcterms:modified>
</cp:coreProperties>
</file>