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0BD" w:rsidRDefault="00577724" w:rsidP="00577724">
      <w:pPr>
        <w:jc w:val="center"/>
        <w:rPr>
          <w:rFonts w:ascii="Baskerville Old Face" w:hAnsi="Baskerville Old Face"/>
          <w:b/>
          <w:lang w:val="en-US"/>
        </w:rPr>
      </w:pPr>
      <w:r w:rsidRPr="00577724">
        <w:rPr>
          <w:rFonts w:ascii="Baskerville Old Face" w:hAnsi="Baskerville Old Face"/>
          <w:b/>
          <w:lang w:val="en-US"/>
        </w:rPr>
        <w:t>Thesis Advancement Report 2016-2017 (Third Year)</w:t>
      </w:r>
    </w:p>
    <w:p w:rsidR="00577724" w:rsidRDefault="00577724" w:rsidP="00B57021">
      <w:pPr>
        <w:spacing w:after="0"/>
        <w:jc w:val="both"/>
        <w:rPr>
          <w:rFonts w:ascii="Baskerville Old Face" w:hAnsi="Baskerville Old Face"/>
          <w:lang w:val="en-US"/>
        </w:rPr>
      </w:pPr>
      <w:r>
        <w:rPr>
          <w:rFonts w:ascii="Baskerville Old Face" w:hAnsi="Baskerville Old Face"/>
          <w:b/>
          <w:lang w:val="en-US"/>
        </w:rPr>
        <w:t xml:space="preserve">Thesis title: </w:t>
      </w:r>
      <w:r>
        <w:rPr>
          <w:rFonts w:ascii="Baskerville Old Face" w:hAnsi="Baskerville Old Face"/>
          <w:lang w:val="en-US"/>
        </w:rPr>
        <w:t>Trusted SLA-Guided Data Integration on Multi-Cloud Environments</w:t>
      </w:r>
    </w:p>
    <w:p w:rsidR="00577724" w:rsidRPr="00577724" w:rsidRDefault="00577724" w:rsidP="00B57021">
      <w:pPr>
        <w:spacing w:after="0"/>
        <w:jc w:val="both"/>
        <w:rPr>
          <w:rFonts w:ascii="Baskerville Old Face" w:hAnsi="Baskerville Old Face"/>
          <w:lang w:val="pt-BR"/>
        </w:rPr>
      </w:pPr>
      <w:r w:rsidRPr="00577724">
        <w:rPr>
          <w:rFonts w:ascii="Baskerville Old Face" w:hAnsi="Baskerville Old Face"/>
          <w:b/>
          <w:lang w:val="pt-BR"/>
        </w:rPr>
        <w:t>PhD. Student:</w:t>
      </w:r>
      <w:r w:rsidRPr="00577724">
        <w:rPr>
          <w:rFonts w:ascii="Baskerville Old Face" w:hAnsi="Baskerville Old Face"/>
          <w:lang w:val="pt-BR"/>
        </w:rPr>
        <w:t xml:space="preserve"> Daniel Aguiar da Silva Carvalho</w:t>
      </w:r>
    </w:p>
    <w:p w:rsidR="00577724" w:rsidRDefault="00577724" w:rsidP="00B57021">
      <w:pPr>
        <w:spacing w:after="0"/>
        <w:jc w:val="both"/>
        <w:rPr>
          <w:rFonts w:ascii="Baskerville Old Face" w:hAnsi="Baskerville Old Face"/>
          <w:lang w:val="en-US"/>
        </w:rPr>
      </w:pPr>
      <w:r w:rsidRPr="00577724">
        <w:rPr>
          <w:rFonts w:ascii="Baskerville Old Face" w:hAnsi="Baskerville Old Face"/>
          <w:b/>
          <w:lang w:val="en-US"/>
        </w:rPr>
        <w:t>Supervisor:</w:t>
      </w:r>
      <w:r w:rsidRPr="00577724">
        <w:rPr>
          <w:rFonts w:ascii="Baskerville Old Face" w:hAnsi="Baskerville Old Face"/>
          <w:lang w:val="en-US"/>
        </w:rPr>
        <w:t xml:space="preserve"> Chirine Ghedira-Guegan   </w:t>
      </w:r>
      <w:r w:rsidRPr="00577724">
        <w:rPr>
          <w:rFonts w:ascii="Baskerville Old Face" w:hAnsi="Baskerville Old Face"/>
          <w:b/>
          <w:lang w:val="en-US"/>
        </w:rPr>
        <w:t>Co-supervisors:</w:t>
      </w:r>
      <w:r w:rsidRPr="00577724">
        <w:rPr>
          <w:rFonts w:ascii="Baskerville Old Face" w:hAnsi="Baskerville Old Face"/>
          <w:lang w:val="en-US"/>
        </w:rPr>
        <w:t xml:space="preserve"> </w:t>
      </w:r>
      <w:r>
        <w:rPr>
          <w:rFonts w:ascii="Baskerville Old Face" w:hAnsi="Baskerville Old Face"/>
          <w:lang w:val="en-US"/>
        </w:rPr>
        <w:t>Nadia Bennani and Genoveva Vargas-Solar</w:t>
      </w:r>
    </w:p>
    <w:p w:rsidR="00577724" w:rsidRPr="00E060CA" w:rsidRDefault="00B57021" w:rsidP="00E060CA">
      <w:pPr>
        <w:spacing w:before="240"/>
        <w:jc w:val="both"/>
        <w:rPr>
          <w:rFonts w:ascii="Baskerville Old Face" w:hAnsi="Baskerville Old Face"/>
          <w:b/>
          <w:u w:val="single"/>
          <w:lang w:val="en-US"/>
        </w:rPr>
      </w:pPr>
      <w:r w:rsidRPr="00E060CA">
        <w:rPr>
          <w:rFonts w:ascii="Baskerville Old Face" w:hAnsi="Baskerville Old Face"/>
          <w:b/>
          <w:u w:val="single"/>
          <w:lang w:val="en-US"/>
        </w:rPr>
        <w:t>1. Context</w:t>
      </w:r>
    </w:p>
    <w:p w:rsidR="00577724" w:rsidRDefault="00577724" w:rsidP="00577724">
      <w:pPr>
        <w:jc w:val="both"/>
        <w:rPr>
          <w:rFonts w:ascii="Baskerville Old Face" w:hAnsi="Baskerville Old Face"/>
          <w:lang w:val="en-US"/>
        </w:rPr>
      </w:pPr>
      <w:r w:rsidRPr="00577724">
        <w:rPr>
          <w:rFonts w:ascii="Baskerville Old Face" w:hAnsi="Baskerville Old Face"/>
          <w:lang w:val="en-US"/>
        </w:rPr>
        <w:t>User-guided data integration implies consuming data by matching and composing</w:t>
      </w:r>
      <w:r>
        <w:rPr>
          <w:rFonts w:ascii="Baskerville Old Face" w:hAnsi="Baskerville Old Face"/>
          <w:lang w:val="en-US"/>
        </w:rPr>
        <w:t xml:space="preserve"> </w:t>
      </w:r>
      <w:r w:rsidRPr="00577724">
        <w:rPr>
          <w:rFonts w:ascii="Baskerville Old Face" w:hAnsi="Baskerville Old Face"/>
          <w:lang w:val="en-US"/>
        </w:rPr>
        <w:t>different data services and integrating the results while respecting data consumers</w:t>
      </w:r>
      <w:r>
        <w:rPr>
          <w:rFonts w:ascii="Baskerville Old Face" w:hAnsi="Baskerville Old Face"/>
          <w:lang w:val="en-US"/>
        </w:rPr>
        <w:t xml:space="preserve"> </w:t>
      </w:r>
      <w:r w:rsidRPr="00577724">
        <w:rPr>
          <w:rFonts w:ascii="Baskerville Old Face" w:hAnsi="Baskerville Old Face"/>
          <w:lang w:val="en-US"/>
        </w:rPr>
        <w:t xml:space="preserve">quality requirements. These requirements </w:t>
      </w:r>
      <w:proofErr w:type="gramStart"/>
      <w:r w:rsidRPr="00577724">
        <w:rPr>
          <w:rFonts w:ascii="Baskerville Old Face" w:hAnsi="Baskerville Old Face"/>
          <w:lang w:val="en-US"/>
        </w:rPr>
        <w:t>could be defined</w:t>
      </w:r>
      <w:proofErr w:type="gramEnd"/>
      <w:r w:rsidRPr="00577724">
        <w:rPr>
          <w:rFonts w:ascii="Baskerville Old Face" w:hAnsi="Baskerville Old Face"/>
          <w:lang w:val="en-US"/>
        </w:rPr>
        <w:t xml:space="preserve"> in service level agreement</w:t>
      </w:r>
      <w:r>
        <w:rPr>
          <w:rFonts w:ascii="Baskerville Old Face" w:hAnsi="Baskerville Old Face"/>
          <w:lang w:val="en-US"/>
        </w:rPr>
        <w:t xml:space="preserve"> </w:t>
      </w:r>
      <w:r w:rsidRPr="00577724">
        <w:rPr>
          <w:rFonts w:ascii="Baskerville Old Face" w:hAnsi="Baskerville Old Face"/>
          <w:lang w:val="en-US"/>
        </w:rPr>
        <w:t>(SLA) contracts established between data consumers and data providers. The SLA</w:t>
      </w:r>
      <w:r>
        <w:rPr>
          <w:rFonts w:ascii="Baskerville Old Face" w:hAnsi="Baskerville Old Face"/>
          <w:lang w:val="en-US"/>
        </w:rPr>
        <w:t xml:space="preserve"> </w:t>
      </w:r>
      <w:r w:rsidRPr="00577724">
        <w:rPr>
          <w:rFonts w:ascii="Baskerville Old Face" w:hAnsi="Baskerville Old Face"/>
          <w:lang w:val="en-US"/>
        </w:rPr>
        <w:t>defines what a data consumer can expect as system behavior, but also the properties</w:t>
      </w:r>
      <w:r>
        <w:rPr>
          <w:rFonts w:ascii="Baskerville Old Face" w:hAnsi="Baskerville Old Face"/>
          <w:lang w:val="en-US"/>
        </w:rPr>
        <w:t xml:space="preserve"> </w:t>
      </w:r>
      <w:r w:rsidRPr="00577724">
        <w:rPr>
          <w:rFonts w:ascii="Baskerville Old Face" w:hAnsi="Baskerville Old Face"/>
          <w:lang w:val="en-US"/>
        </w:rPr>
        <w:t>of the data such as its provenance, veracity, freshness, whether the consumer accepts</w:t>
      </w:r>
      <w:r>
        <w:rPr>
          <w:rFonts w:ascii="Baskerville Old Face" w:hAnsi="Baskerville Old Face"/>
          <w:lang w:val="en-US"/>
        </w:rPr>
        <w:t xml:space="preserve"> </w:t>
      </w:r>
      <w:r w:rsidRPr="00577724">
        <w:rPr>
          <w:rFonts w:ascii="Baskerville Old Face" w:hAnsi="Baskerville Old Face"/>
          <w:lang w:val="en-US"/>
        </w:rPr>
        <w:t>to pay for data, and how much is he/she ready to pay for the resources necessary</w:t>
      </w:r>
      <w:r>
        <w:rPr>
          <w:rFonts w:ascii="Baskerville Old Face" w:hAnsi="Baskerville Old Face"/>
          <w:lang w:val="en-US"/>
        </w:rPr>
        <w:t xml:space="preserve"> </w:t>
      </w:r>
      <w:r w:rsidRPr="00577724">
        <w:rPr>
          <w:rFonts w:ascii="Baskerville Old Face" w:hAnsi="Baskerville Old Face"/>
          <w:lang w:val="en-US"/>
        </w:rPr>
        <w:t>for integrating his/her expected result.</w:t>
      </w:r>
      <w:r>
        <w:rPr>
          <w:rFonts w:ascii="Baskerville Old Face" w:hAnsi="Baskerville Old Face"/>
          <w:lang w:val="en-US"/>
        </w:rPr>
        <w:t xml:space="preserve"> </w:t>
      </w:r>
    </w:p>
    <w:p w:rsidR="00577724" w:rsidRDefault="00577724" w:rsidP="00577724">
      <w:pPr>
        <w:ind w:firstLine="708"/>
        <w:jc w:val="both"/>
        <w:rPr>
          <w:rFonts w:ascii="Baskerville Old Face" w:hAnsi="Baskerville Old Face"/>
          <w:lang w:val="en-US"/>
        </w:rPr>
      </w:pPr>
      <w:r w:rsidRPr="00577724">
        <w:rPr>
          <w:rFonts w:ascii="Baskerville Old Face" w:hAnsi="Baskerville Old Face"/>
          <w:lang w:val="en-US"/>
        </w:rPr>
        <w:t>Several authors have introduced algorithms for data integration in service</w:t>
      </w:r>
      <w:r>
        <w:rPr>
          <w:rFonts w:ascii="Baskerville Old Face" w:hAnsi="Baskerville Old Face"/>
          <w:lang w:val="en-US"/>
        </w:rPr>
        <w:t>-oriented</w:t>
      </w:r>
      <w:r w:rsidRPr="00577724">
        <w:rPr>
          <w:rFonts w:ascii="Baskerville Old Face" w:hAnsi="Baskerville Old Face"/>
          <w:lang w:val="en-US"/>
        </w:rPr>
        <w:t xml:space="preserve"> architectures (such as [</w:t>
      </w:r>
      <w:proofErr w:type="spellStart"/>
      <w:r w:rsidRPr="00577724">
        <w:rPr>
          <w:rFonts w:ascii="Baskerville Old Face" w:hAnsi="Baskerville Old Face"/>
          <w:lang w:val="en-US"/>
        </w:rPr>
        <w:t>Barhamgi</w:t>
      </w:r>
      <w:proofErr w:type="spellEnd"/>
      <w:r w:rsidRPr="00577724">
        <w:rPr>
          <w:rFonts w:ascii="Baskerville Old Face" w:hAnsi="Baskerville Old Face"/>
          <w:lang w:val="en-US"/>
        </w:rPr>
        <w:t xml:space="preserve"> 2010, Costa 2013, </w:t>
      </w:r>
      <w:proofErr w:type="spellStart"/>
      <w:r w:rsidRPr="00577724">
        <w:rPr>
          <w:rFonts w:ascii="Baskerville Old Face" w:hAnsi="Baskerville Old Face"/>
          <w:lang w:val="en-US"/>
        </w:rPr>
        <w:t>Benouaret</w:t>
      </w:r>
      <w:proofErr w:type="spellEnd"/>
      <w:r w:rsidRPr="00577724">
        <w:rPr>
          <w:rFonts w:ascii="Baskerville Old Face" w:hAnsi="Baskerville Old Face"/>
          <w:lang w:val="en-US"/>
        </w:rPr>
        <w:t xml:space="preserve"> 2011,</w:t>
      </w:r>
      <w:r>
        <w:rPr>
          <w:rFonts w:ascii="Baskerville Old Face" w:hAnsi="Baskerville Old Face"/>
          <w:lang w:val="en-US"/>
        </w:rPr>
        <w:t xml:space="preserve"> </w:t>
      </w:r>
      <w:proofErr w:type="gramStart"/>
      <w:r w:rsidRPr="00577724">
        <w:rPr>
          <w:rFonts w:ascii="Baskerville Old Face" w:hAnsi="Baskerville Old Face"/>
          <w:lang w:val="en-US"/>
        </w:rPr>
        <w:t>Ba</w:t>
      </w:r>
      <w:proofErr w:type="gramEnd"/>
      <w:r w:rsidRPr="00577724">
        <w:rPr>
          <w:rFonts w:ascii="Baskerville Old Face" w:hAnsi="Baskerville Old Face"/>
          <w:lang w:val="en-US"/>
        </w:rPr>
        <w:t xml:space="preserve"> 2014]). They have focused on the query-rewriting problem, which in this context includes matching, selecting and composing services according to some data</w:t>
      </w:r>
      <w:r>
        <w:rPr>
          <w:rFonts w:ascii="Baskerville Old Face" w:hAnsi="Baskerville Old Face"/>
          <w:lang w:val="en-US"/>
        </w:rPr>
        <w:t xml:space="preserve"> </w:t>
      </w:r>
      <w:r w:rsidRPr="00577724">
        <w:rPr>
          <w:rFonts w:ascii="Baskerville Old Face" w:hAnsi="Baskerville Old Face"/>
          <w:lang w:val="en-US"/>
        </w:rPr>
        <w:t>requirements and constraints. The problem of composing services has been proven</w:t>
      </w:r>
      <w:r>
        <w:rPr>
          <w:rFonts w:ascii="Baskerville Old Face" w:hAnsi="Baskerville Old Face"/>
          <w:lang w:val="en-US"/>
        </w:rPr>
        <w:t xml:space="preserve"> </w:t>
      </w:r>
      <w:proofErr w:type="gramStart"/>
      <w:r w:rsidRPr="00577724">
        <w:rPr>
          <w:rFonts w:ascii="Baskerville Old Face" w:hAnsi="Baskerville Old Face"/>
          <w:lang w:val="en-US"/>
        </w:rPr>
        <w:t>to be an</w:t>
      </w:r>
      <w:proofErr w:type="gramEnd"/>
      <w:r w:rsidRPr="00577724">
        <w:rPr>
          <w:rFonts w:ascii="Baskerville Old Face" w:hAnsi="Baskerville Old Face"/>
          <w:lang w:val="en-US"/>
        </w:rPr>
        <w:t xml:space="preserve"> NP-hard problem, which implies a performance problem while searching</w:t>
      </w:r>
      <w:r>
        <w:rPr>
          <w:rFonts w:ascii="Baskerville Old Face" w:hAnsi="Baskerville Old Face"/>
          <w:lang w:val="en-US"/>
        </w:rPr>
        <w:t xml:space="preserve"> </w:t>
      </w:r>
      <w:r w:rsidRPr="00577724">
        <w:rPr>
          <w:rFonts w:ascii="Baskerville Old Face" w:hAnsi="Baskerville Old Face"/>
          <w:lang w:val="en-US"/>
        </w:rPr>
        <w:t>for service combinations. To tackle it, heuristics for computing and identifying the</w:t>
      </w:r>
      <w:r>
        <w:rPr>
          <w:rFonts w:ascii="Baskerville Old Face" w:hAnsi="Baskerville Old Face"/>
          <w:lang w:val="en-US"/>
        </w:rPr>
        <w:t xml:space="preserve"> </w:t>
      </w:r>
      <w:r w:rsidRPr="00577724">
        <w:rPr>
          <w:rFonts w:ascii="Baskerville Old Face" w:hAnsi="Baskerville Old Face"/>
          <w:lang w:val="en-US"/>
        </w:rPr>
        <w:t xml:space="preserve">best services and compositions based on quality aspects </w:t>
      </w:r>
      <w:proofErr w:type="gramStart"/>
      <w:r w:rsidRPr="00577724">
        <w:rPr>
          <w:rFonts w:ascii="Baskerville Old Face" w:hAnsi="Baskerville Old Face"/>
          <w:lang w:val="en-US"/>
        </w:rPr>
        <w:t>have been proposed</w:t>
      </w:r>
      <w:proofErr w:type="gramEnd"/>
      <w:r w:rsidRPr="00577724">
        <w:rPr>
          <w:rFonts w:ascii="Baskerville Old Face" w:hAnsi="Baskerville Old Face"/>
          <w:lang w:val="en-US"/>
        </w:rPr>
        <w:t xml:space="preserve"> (such</w:t>
      </w:r>
      <w:r>
        <w:rPr>
          <w:rFonts w:ascii="Baskerville Old Face" w:hAnsi="Baskerville Old Face"/>
          <w:lang w:val="en-US"/>
        </w:rPr>
        <w:t xml:space="preserve"> </w:t>
      </w:r>
      <w:r w:rsidRPr="00577724">
        <w:rPr>
          <w:rFonts w:ascii="Baskerville Old Face" w:hAnsi="Baskerville Old Face"/>
          <w:lang w:val="en-US"/>
        </w:rPr>
        <w:t xml:space="preserve">as [Cardoso 2004, </w:t>
      </w:r>
      <w:proofErr w:type="spellStart"/>
      <w:r w:rsidRPr="00577724">
        <w:rPr>
          <w:rFonts w:ascii="Baskerville Old Face" w:hAnsi="Baskerville Old Face"/>
          <w:lang w:val="en-US"/>
        </w:rPr>
        <w:t>Berbner</w:t>
      </w:r>
      <w:proofErr w:type="spellEnd"/>
      <w:r w:rsidRPr="00577724">
        <w:rPr>
          <w:rFonts w:ascii="Baskerville Old Face" w:hAnsi="Baskerville Old Face"/>
          <w:lang w:val="en-US"/>
        </w:rPr>
        <w:t xml:space="preserve"> 2006, </w:t>
      </w:r>
      <w:proofErr w:type="spellStart"/>
      <w:r w:rsidRPr="00577724">
        <w:rPr>
          <w:rFonts w:ascii="Baskerville Old Face" w:hAnsi="Baskerville Old Face"/>
          <w:lang w:val="en-US"/>
        </w:rPr>
        <w:t>Menascé</w:t>
      </w:r>
      <w:proofErr w:type="spellEnd"/>
      <w:r w:rsidRPr="00577724">
        <w:rPr>
          <w:rFonts w:ascii="Baskerville Old Face" w:hAnsi="Baskerville Old Face"/>
          <w:lang w:val="en-US"/>
        </w:rPr>
        <w:t xml:space="preserve"> 2008, </w:t>
      </w:r>
      <w:proofErr w:type="spellStart"/>
      <w:r w:rsidRPr="00577724">
        <w:rPr>
          <w:rFonts w:ascii="Baskerville Old Face" w:hAnsi="Baskerville Old Face"/>
          <w:lang w:val="en-US"/>
        </w:rPr>
        <w:t>Sasikaladevi</w:t>
      </w:r>
      <w:proofErr w:type="spellEnd"/>
      <w:r w:rsidRPr="00577724">
        <w:rPr>
          <w:rFonts w:ascii="Baskerville Old Face" w:hAnsi="Baskerville Old Face"/>
          <w:lang w:val="en-US"/>
        </w:rPr>
        <w:t xml:space="preserve"> 2014]). However, current work focus on services’ properties neglecting data properties and the new constraints imposed by the service-oriented context (for example, a given data service</w:t>
      </w:r>
      <w:r>
        <w:rPr>
          <w:rFonts w:ascii="Baskerville Old Face" w:hAnsi="Baskerville Old Face"/>
          <w:lang w:val="en-US"/>
        </w:rPr>
        <w:t xml:space="preserve"> </w:t>
      </w:r>
      <w:r w:rsidRPr="00577724">
        <w:rPr>
          <w:rFonts w:ascii="Baskerville Old Face" w:hAnsi="Baskerville Old Face"/>
          <w:lang w:val="en-US"/>
        </w:rPr>
        <w:t>could be out of resources according to what he agreed on SLA with his service</w:t>
      </w:r>
      <w:r>
        <w:rPr>
          <w:rFonts w:ascii="Baskerville Old Face" w:hAnsi="Baskerville Old Face"/>
          <w:lang w:val="en-US"/>
        </w:rPr>
        <w:t xml:space="preserve"> </w:t>
      </w:r>
      <w:r w:rsidRPr="00577724">
        <w:rPr>
          <w:rFonts w:ascii="Baskerville Old Face" w:hAnsi="Baskerville Old Face"/>
          <w:lang w:val="en-US"/>
        </w:rPr>
        <w:t>provider).</w:t>
      </w:r>
      <w:r>
        <w:rPr>
          <w:rFonts w:ascii="Baskerville Old Face" w:hAnsi="Baskerville Old Face"/>
          <w:lang w:val="en-US"/>
        </w:rPr>
        <w:t xml:space="preserve"> </w:t>
      </w:r>
    </w:p>
    <w:p w:rsidR="00B57021" w:rsidRPr="00B57021" w:rsidRDefault="00B57021" w:rsidP="00B57021">
      <w:pPr>
        <w:ind w:firstLine="708"/>
        <w:jc w:val="both"/>
        <w:rPr>
          <w:rFonts w:ascii="Baskerville Old Face" w:hAnsi="Baskerville Old Face"/>
          <w:lang w:val="en-US"/>
        </w:rPr>
      </w:pPr>
      <w:r w:rsidRPr="00B57021">
        <w:rPr>
          <w:rFonts w:ascii="Baskerville Old Face" w:hAnsi="Baskerville Old Face"/>
          <w:lang w:val="en-US"/>
        </w:rPr>
        <w:t>The service-oriented context brings challenges to query rewriting in data integration solutions. Instead of taking into consideration only the user query and his/her</w:t>
      </w:r>
      <w:r>
        <w:rPr>
          <w:rFonts w:ascii="Baskerville Old Face" w:hAnsi="Baskerville Old Face"/>
          <w:lang w:val="en-US"/>
        </w:rPr>
        <w:t xml:space="preserve"> </w:t>
      </w:r>
      <w:r w:rsidRPr="00B57021">
        <w:rPr>
          <w:rFonts w:ascii="Baskerville Old Face" w:hAnsi="Baskerville Old Face"/>
          <w:lang w:val="en-US"/>
        </w:rPr>
        <w:t>requirements with respect to services’ properties (such as percentage of availability and response time), the integration process must consider in addition the new</w:t>
      </w:r>
      <w:r>
        <w:rPr>
          <w:rFonts w:ascii="Baskerville Old Face" w:hAnsi="Baskerville Old Face"/>
          <w:lang w:val="en-US"/>
        </w:rPr>
        <w:t xml:space="preserve"> </w:t>
      </w:r>
      <w:r w:rsidRPr="00B57021">
        <w:rPr>
          <w:rFonts w:ascii="Baskerville Old Face" w:hAnsi="Baskerville Old Face"/>
          <w:lang w:val="en-US"/>
        </w:rPr>
        <w:t>constraints imposed by the context:</w:t>
      </w:r>
    </w:p>
    <w:p w:rsidR="00B57021" w:rsidRPr="00B57021" w:rsidRDefault="00B57021" w:rsidP="00B57021">
      <w:pPr>
        <w:pStyle w:val="PargrafodaLista"/>
        <w:numPr>
          <w:ilvl w:val="0"/>
          <w:numId w:val="1"/>
        </w:numPr>
        <w:jc w:val="both"/>
        <w:rPr>
          <w:rFonts w:ascii="Baskerville Old Face" w:hAnsi="Baskerville Old Face"/>
          <w:lang w:val="en-US"/>
        </w:rPr>
      </w:pPr>
      <w:r w:rsidRPr="00B57021">
        <w:rPr>
          <w:rFonts w:ascii="Baskerville Old Face" w:hAnsi="Baskerville Old Face"/>
          <w:lang w:val="en-US"/>
        </w:rPr>
        <w:t xml:space="preserve">User requirements may concern not only data services’ properties but also quality requirements of the data, which </w:t>
      </w:r>
      <w:proofErr w:type="gramStart"/>
      <w:r w:rsidRPr="00B57021">
        <w:rPr>
          <w:rFonts w:ascii="Baskerville Old Face" w:hAnsi="Baskerville Old Face"/>
          <w:lang w:val="en-US"/>
        </w:rPr>
        <w:t>is being provided</w:t>
      </w:r>
      <w:proofErr w:type="gramEnd"/>
      <w:r w:rsidRPr="00B57021">
        <w:rPr>
          <w:rFonts w:ascii="Baskerville Old Face" w:hAnsi="Baskerville Old Face"/>
          <w:lang w:val="en-US"/>
        </w:rPr>
        <w:t xml:space="preserve"> (such as freshness, cost, provenance, data type, veracity among others).</w:t>
      </w:r>
    </w:p>
    <w:p w:rsidR="00B57021" w:rsidRPr="00B57021" w:rsidRDefault="00B57021" w:rsidP="00B57021">
      <w:pPr>
        <w:pStyle w:val="PargrafodaLista"/>
        <w:numPr>
          <w:ilvl w:val="0"/>
          <w:numId w:val="1"/>
        </w:numPr>
        <w:jc w:val="both"/>
        <w:rPr>
          <w:rFonts w:ascii="Baskerville Old Face" w:hAnsi="Baskerville Old Face"/>
          <w:lang w:val="en-US"/>
        </w:rPr>
      </w:pPr>
      <w:r w:rsidRPr="00B57021">
        <w:rPr>
          <w:rFonts w:ascii="Baskerville Old Face" w:hAnsi="Baskerville Old Face"/>
          <w:lang w:val="en-US"/>
        </w:rPr>
        <w:t>Data provision is constrained to the available computing resources agreed between data services and service providers on service level agreement (SLA) contracts. For example, a data service could have agreed to perform a limited quantity of requests per day.</w:t>
      </w:r>
    </w:p>
    <w:p w:rsidR="00B57021" w:rsidRPr="00B57021" w:rsidRDefault="00B57021" w:rsidP="00B57021">
      <w:pPr>
        <w:pStyle w:val="PargrafodaLista"/>
        <w:numPr>
          <w:ilvl w:val="0"/>
          <w:numId w:val="1"/>
        </w:numPr>
        <w:jc w:val="both"/>
        <w:rPr>
          <w:rFonts w:ascii="Baskerville Old Face" w:hAnsi="Baskerville Old Face"/>
          <w:lang w:val="en-US"/>
        </w:rPr>
      </w:pPr>
      <w:r w:rsidRPr="00B57021">
        <w:rPr>
          <w:rFonts w:ascii="Baskerville Old Face" w:hAnsi="Baskerville Old Face"/>
          <w:lang w:val="en-US"/>
        </w:rPr>
        <w:t>The data integration process requires a high level of computing resources while searching for services and producing compositions. The huge amount of data and data services in the service context increases even more the complexity of the solutions.</w:t>
      </w:r>
    </w:p>
    <w:p w:rsidR="00B57021" w:rsidRPr="00B57021" w:rsidRDefault="00B57021" w:rsidP="00B57021">
      <w:pPr>
        <w:jc w:val="both"/>
        <w:rPr>
          <w:rFonts w:ascii="Baskerville Old Face" w:hAnsi="Baskerville Old Face"/>
          <w:lang w:val="en-US"/>
        </w:rPr>
      </w:pPr>
      <w:r w:rsidRPr="00B57021">
        <w:rPr>
          <w:rFonts w:ascii="Baskerville Old Face" w:hAnsi="Baskerville Old Face"/>
          <w:lang w:val="en-US"/>
        </w:rPr>
        <w:t xml:space="preserve">Concerning the aforementioned, current </w:t>
      </w:r>
      <w:proofErr w:type="gramStart"/>
      <w:r w:rsidRPr="00B57021">
        <w:rPr>
          <w:rFonts w:ascii="Baskerville Old Face" w:hAnsi="Baskerville Old Face"/>
          <w:lang w:val="en-US"/>
        </w:rPr>
        <w:t>data</w:t>
      </w:r>
      <w:proofErr w:type="gramEnd"/>
      <w:r w:rsidRPr="00B57021">
        <w:rPr>
          <w:rFonts w:ascii="Baskerville Old Face" w:hAnsi="Baskerville Old Face"/>
          <w:lang w:val="en-US"/>
        </w:rPr>
        <w:t xml:space="preserve"> integration solutions introduce a</w:t>
      </w:r>
      <w:r>
        <w:rPr>
          <w:rFonts w:ascii="Baskerville Old Face" w:hAnsi="Baskerville Old Face"/>
          <w:lang w:val="en-US"/>
        </w:rPr>
        <w:t xml:space="preserve"> </w:t>
      </w:r>
      <w:r w:rsidRPr="00B57021">
        <w:rPr>
          <w:rFonts w:ascii="Baskerville Old Face" w:hAnsi="Baskerville Old Face"/>
          <w:lang w:val="en-US"/>
        </w:rPr>
        <w:t>multi-dimensional matching problem that should take into account:</w:t>
      </w:r>
    </w:p>
    <w:p w:rsidR="00B57021" w:rsidRPr="0037083B" w:rsidRDefault="00B57021" w:rsidP="0037083B">
      <w:pPr>
        <w:pStyle w:val="PargrafodaLista"/>
        <w:numPr>
          <w:ilvl w:val="0"/>
          <w:numId w:val="2"/>
        </w:numPr>
        <w:jc w:val="both"/>
        <w:rPr>
          <w:rFonts w:ascii="Baskerville Old Face" w:hAnsi="Baskerville Old Face"/>
          <w:lang w:val="en-US"/>
        </w:rPr>
      </w:pPr>
      <w:r w:rsidRPr="0037083B">
        <w:rPr>
          <w:rFonts w:ascii="Baskerville Old Face" w:hAnsi="Baskerville Old Face"/>
          <w:lang w:val="en-US"/>
        </w:rPr>
        <w:t>Matching and selecting data services according to the data consumer requirements (concerning service and data’s properties) with respect (i) to data services quality measures defined in SLA contracts; and (ii) to data services’ available resources according to different SLAs that they have agreed with different service providers.</w:t>
      </w:r>
    </w:p>
    <w:p w:rsidR="00B57021" w:rsidRPr="0037083B" w:rsidRDefault="00B57021" w:rsidP="0037083B">
      <w:pPr>
        <w:pStyle w:val="PargrafodaLista"/>
        <w:numPr>
          <w:ilvl w:val="0"/>
          <w:numId w:val="2"/>
        </w:numPr>
        <w:jc w:val="both"/>
        <w:rPr>
          <w:rFonts w:ascii="Baskerville Old Face" w:hAnsi="Baskerville Old Face"/>
          <w:lang w:val="en-US"/>
        </w:rPr>
      </w:pPr>
      <w:r w:rsidRPr="0037083B">
        <w:rPr>
          <w:rFonts w:ascii="Baskerville Old Face" w:hAnsi="Baskerville Old Face"/>
          <w:lang w:val="en-US"/>
        </w:rPr>
        <w:t>Delivering results with respect to the data consumer requirements depending on the context which he/she consumes the data (for example, using a mobile phone)</w:t>
      </w:r>
    </w:p>
    <w:p w:rsidR="00B57021" w:rsidRPr="00B57021" w:rsidRDefault="00B57021" w:rsidP="0037083B">
      <w:pPr>
        <w:ind w:firstLine="360"/>
        <w:jc w:val="both"/>
        <w:rPr>
          <w:rFonts w:ascii="Baskerville Old Face" w:hAnsi="Baskerville Old Face"/>
          <w:lang w:val="en-US"/>
        </w:rPr>
      </w:pPr>
      <w:r w:rsidRPr="00B57021">
        <w:rPr>
          <w:rFonts w:ascii="Baskerville Old Face" w:hAnsi="Baskerville Old Face"/>
          <w:lang w:val="en-US"/>
        </w:rPr>
        <w:t>Thus, this thesis addresses data integration on service-oriented environments. The</w:t>
      </w:r>
      <w:r>
        <w:rPr>
          <w:rFonts w:ascii="Baskerville Old Face" w:hAnsi="Baskerville Old Face"/>
          <w:lang w:val="en-US"/>
        </w:rPr>
        <w:t xml:space="preserve"> </w:t>
      </w:r>
      <w:r w:rsidRPr="00B57021">
        <w:rPr>
          <w:rFonts w:ascii="Baskerville Old Face" w:hAnsi="Baskerville Old Face"/>
          <w:lang w:val="en-US"/>
        </w:rPr>
        <w:t>aim is to propose a data integration approach targeting (multi-)cloud context in</w:t>
      </w:r>
      <w:r>
        <w:rPr>
          <w:rFonts w:ascii="Baskerville Old Face" w:hAnsi="Baskerville Old Face"/>
          <w:lang w:val="en-US"/>
        </w:rPr>
        <w:t xml:space="preserve"> </w:t>
      </w:r>
      <w:r w:rsidRPr="00B57021">
        <w:rPr>
          <w:rFonts w:ascii="Baskerville Old Face" w:hAnsi="Baskerville Old Face"/>
          <w:lang w:val="en-US"/>
        </w:rPr>
        <w:t xml:space="preserve">which data </w:t>
      </w:r>
      <w:proofErr w:type="gramStart"/>
      <w:r w:rsidRPr="00B57021">
        <w:rPr>
          <w:rFonts w:ascii="Baskerville Old Face" w:hAnsi="Baskerville Old Face"/>
          <w:lang w:val="en-US"/>
        </w:rPr>
        <w:t>is delivered</w:t>
      </w:r>
      <w:proofErr w:type="gramEnd"/>
      <w:r w:rsidRPr="00B57021">
        <w:rPr>
          <w:rFonts w:ascii="Baskerville Old Face" w:hAnsi="Baskerville Old Face"/>
          <w:lang w:val="en-US"/>
        </w:rPr>
        <w:t xml:space="preserve"> according to data consumers’ expectations and financial constraints. The multi-cloud introduces a new vision to the problem considering that</w:t>
      </w:r>
      <w:r>
        <w:rPr>
          <w:rFonts w:ascii="Baskerville Old Face" w:hAnsi="Baskerville Old Face"/>
          <w:lang w:val="en-US"/>
        </w:rPr>
        <w:t xml:space="preserve"> </w:t>
      </w:r>
      <w:r w:rsidRPr="00B57021">
        <w:rPr>
          <w:rFonts w:ascii="Baskerville Old Face" w:hAnsi="Baskerville Old Face"/>
          <w:lang w:val="en-US"/>
        </w:rPr>
        <w:t xml:space="preserve">data services could deploy services in different cloud providers, under different quality conditions (with respect to performance and data properties) which </w:t>
      </w:r>
      <w:proofErr w:type="gramStart"/>
      <w:r w:rsidRPr="00B57021">
        <w:rPr>
          <w:rFonts w:ascii="Baskerville Old Face" w:hAnsi="Baskerville Old Face"/>
          <w:lang w:val="en-US"/>
        </w:rPr>
        <w:t>are agreed</w:t>
      </w:r>
      <w:proofErr w:type="gramEnd"/>
      <w:r>
        <w:rPr>
          <w:rFonts w:ascii="Baskerville Old Face" w:hAnsi="Baskerville Old Face"/>
          <w:lang w:val="en-US"/>
        </w:rPr>
        <w:t xml:space="preserve"> </w:t>
      </w:r>
      <w:r w:rsidRPr="00B57021">
        <w:rPr>
          <w:rFonts w:ascii="Baskerville Old Face" w:hAnsi="Baskerville Old Face"/>
          <w:lang w:val="en-US"/>
        </w:rPr>
        <w:t xml:space="preserve">in several SLA contracts under different pricing conditions. </w:t>
      </w:r>
      <w:r w:rsidRPr="00B57021">
        <w:rPr>
          <w:rFonts w:ascii="Baskerville Old Face" w:hAnsi="Baskerville Old Face"/>
          <w:lang w:val="en-US"/>
        </w:rPr>
        <w:lastRenderedPageBreak/>
        <w:t>Furthermore, the explosion in the number of services increases the complexity of service selection and</w:t>
      </w:r>
      <w:r>
        <w:rPr>
          <w:rFonts w:ascii="Baskerville Old Face" w:hAnsi="Baskerville Old Face"/>
          <w:lang w:val="en-US"/>
        </w:rPr>
        <w:t xml:space="preserve"> </w:t>
      </w:r>
      <w:r w:rsidRPr="00B57021">
        <w:rPr>
          <w:rFonts w:ascii="Baskerville Old Face" w:hAnsi="Baskerville Old Face"/>
          <w:lang w:val="en-US"/>
        </w:rPr>
        <w:t xml:space="preserve">combination, and the decision of which rewriting will be done according to the different quality aspects and cost. To achieve this, this thesis aims to fulfill </w:t>
      </w:r>
      <w:r w:rsidR="0037083B" w:rsidRPr="00B57021">
        <w:rPr>
          <w:rFonts w:ascii="Baskerville Old Face" w:hAnsi="Baskerville Old Face"/>
          <w:lang w:val="en-US"/>
        </w:rPr>
        <w:t>these</w:t>
      </w:r>
      <w:r w:rsidRPr="00B57021">
        <w:rPr>
          <w:rFonts w:ascii="Baskerville Old Face" w:hAnsi="Baskerville Old Face"/>
          <w:lang w:val="en-US"/>
        </w:rPr>
        <w:t xml:space="preserve"> three</w:t>
      </w:r>
      <w:r>
        <w:rPr>
          <w:rFonts w:ascii="Baskerville Old Face" w:hAnsi="Baskerville Old Face"/>
          <w:lang w:val="en-US"/>
        </w:rPr>
        <w:t xml:space="preserve"> </w:t>
      </w:r>
      <w:r w:rsidRPr="00B57021">
        <w:rPr>
          <w:rFonts w:ascii="Baskerville Old Face" w:hAnsi="Baskerville Old Face"/>
          <w:lang w:val="en-US"/>
        </w:rPr>
        <w:t>main contributions:</w:t>
      </w:r>
    </w:p>
    <w:p w:rsidR="00B57021" w:rsidRPr="0037083B" w:rsidRDefault="00B57021" w:rsidP="0037083B">
      <w:pPr>
        <w:pStyle w:val="PargrafodaLista"/>
        <w:numPr>
          <w:ilvl w:val="0"/>
          <w:numId w:val="3"/>
        </w:numPr>
        <w:jc w:val="both"/>
        <w:rPr>
          <w:rFonts w:ascii="Baskerville Old Face" w:hAnsi="Baskerville Old Face"/>
          <w:lang w:val="en-US"/>
        </w:rPr>
      </w:pPr>
      <w:r w:rsidRPr="0037083B">
        <w:rPr>
          <w:rFonts w:ascii="Baskerville Old Face" w:hAnsi="Baskerville Old Face"/>
          <w:lang w:val="en-US"/>
        </w:rPr>
        <w:t>A new query rewriting algorithm which takes into account user requirements regarding data properties and service properties according to the deployment context (see appendix B);</w:t>
      </w:r>
    </w:p>
    <w:p w:rsidR="00B57021" w:rsidRPr="0037083B" w:rsidRDefault="00B57021" w:rsidP="0037083B">
      <w:pPr>
        <w:pStyle w:val="PargrafodaLista"/>
        <w:numPr>
          <w:ilvl w:val="0"/>
          <w:numId w:val="3"/>
        </w:numPr>
        <w:jc w:val="both"/>
        <w:rPr>
          <w:rFonts w:ascii="Baskerville Old Face" w:hAnsi="Baskerville Old Face"/>
          <w:lang w:val="en-US"/>
        </w:rPr>
      </w:pPr>
      <w:r w:rsidRPr="0037083B">
        <w:rPr>
          <w:rFonts w:ascii="Baskerville Old Face" w:hAnsi="Baskerville Old Face"/>
          <w:lang w:val="en-US"/>
        </w:rPr>
        <w:t>Enhancing the algorithm by proposing an heuristic-based approach to avoid the combinatorial problem while searching and composing services (Future work); and</w:t>
      </w:r>
    </w:p>
    <w:p w:rsidR="00B57021" w:rsidRDefault="00B57021" w:rsidP="0037083B">
      <w:pPr>
        <w:pStyle w:val="PargrafodaLista"/>
        <w:numPr>
          <w:ilvl w:val="0"/>
          <w:numId w:val="3"/>
        </w:numPr>
        <w:jc w:val="both"/>
        <w:rPr>
          <w:rFonts w:ascii="Baskerville Old Face" w:hAnsi="Baskerville Old Face"/>
          <w:lang w:val="en-US"/>
        </w:rPr>
      </w:pPr>
      <w:r w:rsidRPr="0037083B">
        <w:rPr>
          <w:rFonts w:ascii="Baskerville Old Face" w:hAnsi="Baskerville Old Face"/>
          <w:lang w:val="en-US"/>
        </w:rPr>
        <w:t>Reducing the rewriting frequency by building a framework that reuses previous data integration based on a query history (work in progress).</w:t>
      </w:r>
    </w:p>
    <w:p w:rsidR="0037083B" w:rsidRPr="0037083B" w:rsidRDefault="0037083B" w:rsidP="0037083B">
      <w:pPr>
        <w:jc w:val="both"/>
        <w:rPr>
          <w:rFonts w:ascii="Baskerville Old Face" w:hAnsi="Baskerville Old Face"/>
          <w:b/>
          <w:u w:val="single"/>
          <w:lang w:val="en-US"/>
        </w:rPr>
      </w:pPr>
      <w:r w:rsidRPr="0037083B">
        <w:rPr>
          <w:rFonts w:ascii="Baskerville Old Face" w:hAnsi="Baskerville Old Face"/>
          <w:b/>
          <w:u w:val="single"/>
          <w:lang w:val="en-US"/>
        </w:rPr>
        <w:t>2. Synthesis of the Research Activities</w:t>
      </w:r>
    </w:p>
    <w:p w:rsidR="0037083B" w:rsidRDefault="0037083B" w:rsidP="0037083B">
      <w:pPr>
        <w:jc w:val="both"/>
        <w:rPr>
          <w:rFonts w:ascii="Baskerville Old Face" w:hAnsi="Baskerville Old Face"/>
          <w:lang w:val="en-US"/>
        </w:rPr>
      </w:pPr>
      <w:r>
        <w:rPr>
          <w:rFonts w:ascii="Baskerville Old Face" w:hAnsi="Baskerville Old Face"/>
          <w:lang w:val="en-US"/>
        </w:rPr>
        <w:t xml:space="preserve">During the third year, we have organized our activities as follows: </w:t>
      </w:r>
    </w:p>
    <w:p w:rsidR="0037083B" w:rsidRPr="0037083B" w:rsidRDefault="0037083B" w:rsidP="0037083B">
      <w:pPr>
        <w:jc w:val="both"/>
        <w:rPr>
          <w:rFonts w:ascii="Baskerville Old Face" w:hAnsi="Baskerville Old Face"/>
          <w:lang w:val="en-US"/>
        </w:rPr>
      </w:pPr>
      <w:r w:rsidRPr="0037083B">
        <w:rPr>
          <w:rFonts w:ascii="Baskerville Old Face" w:hAnsi="Baskerville Old Face"/>
          <w:b/>
          <w:lang w:val="en-US"/>
        </w:rPr>
        <w:t>Data integration meta-model and SLA schemas:</w:t>
      </w:r>
      <w:r w:rsidRPr="0037083B">
        <w:rPr>
          <w:rFonts w:ascii="Baskerville Old Face" w:hAnsi="Baskerville Old Face"/>
          <w:lang w:val="en-US"/>
        </w:rPr>
        <w:t xml:space="preserve"> </w:t>
      </w:r>
      <w:r>
        <w:rPr>
          <w:rFonts w:ascii="Baskerville Old Face" w:hAnsi="Baskerville Old Face"/>
          <w:lang w:val="en-US"/>
        </w:rPr>
        <w:t>t</w:t>
      </w:r>
      <w:r w:rsidRPr="0037083B">
        <w:rPr>
          <w:rFonts w:ascii="Baskerville Old Face" w:hAnsi="Baskerville Old Face"/>
          <w:lang w:val="en-US"/>
        </w:rPr>
        <w:t>o describe</w:t>
      </w:r>
      <w:r>
        <w:rPr>
          <w:rFonts w:ascii="Baskerville Old Face" w:hAnsi="Baskerville Old Face"/>
          <w:lang w:val="en-US"/>
        </w:rPr>
        <w:t xml:space="preserve"> </w:t>
      </w:r>
      <w:r w:rsidRPr="0037083B">
        <w:rPr>
          <w:rFonts w:ascii="Baskerville Old Face" w:hAnsi="Baskerville Old Face"/>
          <w:lang w:val="en-US"/>
        </w:rPr>
        <w:t xml:space="preserve">our context </w:t>
      </w:r>
      <w:r>
        <w:rPr>
          <w:rFonts w:ascii="Baskerville Old Face" w:hAnsi="Baskerville Old Face"/>
          <w:lang w:val="en-US"/>
        </w:rPr>
        <w:t xml:space="preserve">and </w:t>
      </w:r>
      <w:r w:rsidRPr="0037083B">
        <w:rPr>
          <w:rFonts w:ascii="Baskerville Old Face" w:hAnsi="Baskerville Old Face"/>
          <w:lang w:val="en-US"/>
        </w:rPr>
        <w:t xml:space="preserve">to illustrate the approach, we have designed a meta-model for data integration. Current SLA schemas </w:t>
      </w:r>
      <w:proofErr w:type="gramStart"/>
      <w:r w:rsidRPr="0037083B">
        <w:rPr>
          <w:rFonts w:ascii="Baskerville Old Face" w:hAnsi="Baskerville Old Face"/>
          <w:lang w:val="en-US"/>
        </w:rPr>
        <w:t>are focused</w:t>
      </w:r>
      <w:proofErr w:type="gramEnd"/>
      <w:r w:rsidRPr="0037083B">
        <w:rPr>
          <w:rFonts w:ascii="Baskerville Old Face" w:hAnsi="Baskerville Old Face"/>
          <w:lang w:val="en-US"/>
        </w:rPr>
        <w:t xml:space="preserve"> on service properties aspects such as</w:t>
      </w:r>
      <w:r>
        <w:rPr>
          <w:rFonts w:ascii="Baskerville Old Face" w:hAnsi="Baskerville Old Face"/>
          <w:lang w:val="en-US"/>
        </w:rPr>
        <w:t xml:space="preserve"> </w:t>
      </w:r>
      <w:r w:rsidRPr="0037083B">
        <w:rPr>
          <w:rFonts w:ascii="Baskerville Old Face" w:hAnsi="Baskerville Old Face"/>
          <w:lang w:val="en-US"/>
        </w:rPr>
        <w:t>availability and response time. Thus, to better fit on the data integration requirements, we have proposed cloud SLA that is an agreement between a data service</w:t>
      </w:r>
      <w:r>
        <w:rPr>
          <w:rFonts w:ascii="Baskerville Old Face" w:hAnsi="Baskerville Old Face"/>
          <w:lang w:val="en-US"/>
        </w:rPr>
        <w:t xml:space="preserve"> </w:t>
      </w:r>
      <w:r w:rsidRPr="0037083B">
        <w:rPr>
          <w:rFonts w:ascii="Baskerville Old Face" w:hAnsi="Baskerville Old Face"/>
          <w:lang w:val="en-US"/>
        </w:rPr>
        <w:t>and a cloud provider, and a service SLA which is a new kind of agreement defined</w:t>
      </w:r>
      <w:r>
        <w:rPr>
          <w:rFonts w:ascii="Baskerville Old Face" w:hAnsi="Baskerville Old Face"/>
          <w:lang w:val="en-US"/>
        </w:rPr>
        <w:t xml:space="preserve"> </w:t>
      </w:r>
      <w:r w:rsidRPr="0037083B">
        <w:rPr>
          <w:rFonts w:ascii="Baskerville Old Face" w:hAnsi="Baskerville Old Face"/>
          <w:lang w:val="en-US"/>
        </w:rPr>
        <w:t>by data services exposing the properties of the data they provide. The results of</w:t>
      </w:r>
      <w:r>
        <w:rPr>
          <w:rFonts w:ascii="Baskerville Old Face" w:hAnsi="Baskerville Old Face"/>
          <w:lang w:val="en-US"/>
        </w:rPr>
        <w:t xml:space="preserve"> </w:t>
      </w:r>
      <w:r w:rsidRPr="0037083B">
        <w:rPr>
          <w:rFonts w:ascii="Baskerville Old Face" w:hAnsi="Baskerville Old Face"/>
          <w:lang w:val="en-US"/>
        </w:rPr>
        <w:t xml:space="preserve">this part of our work </w:t>
      </w:r>
      <w:proofErr w:type="gramStart"/>
      <w:r w:rsidRPr="0037083B">
        <w:rPr>
          <w:rFonts w:ascii="Baskerville Old Face" w:hAnsi="Baskerville Old Face"/>
          <w:lang w:val="en-US"/>
        </w:rPr>
        <w:t>have been accepted</w:t>
      </w:r>
      <w:proofErr w:type="gramEnd"/>
      <w:r w:rsidRPr="0037083B">
        <w:rPr>
          <w:rFonts w:ascii="Baskerville Old Face" w:hAnsi="Baskerville Old Face"/>
          <w:lang w:val="en-US"/>
        </w:rPr>
        <w:t xml:space="preserve"> in the ICSOC PhD Symposium 2016.</w:t>
      </w:r>
    </w:p>
    <w:p w:rsidR="0037083B" w:rsidRPr="0037083B" w:rsidRDefault="0037083B" w:rsidP="0037083B">
      <w:pPr>
        <w:jc w:val="both"/>
        <w:rPr>
          <w:rFonts w:ascii="Baskerville Old Face" w:hAnsi="Baskerville Old Face"/>
          <w:lang w:val="en-US"/>
        </w:rPr>
      </w:pPr>
      <w:r w:rsidRPr="0037083B">
        <w:rPr>
          <w:rFonts w:ascii="Baskerville Old Face" w:hAnsi="Baskerville Old Face"/>
          <w:b/>
          <w:lang w:val="en-US"/>
        </w:rPr>
        <w:t>A method for service and composition selection:</w:t>
      </w:r>
      <w:r w:rsidRPr="0037083B">
        <w:rPr>
          <w:rFonts w:ascii="Baskerville Old Face" w:hAnsi="Baskerville Old Face"/>
          <w:lang w:val="en-US"/>
        </w:rPr>
        <w:t xml:space="preserve"> Current data integration</w:t>
      </w:r>
      <w:r>
        <w:rPr>
          <w:rFonts w:ascii="Baskerville Old Face" w:hAnsi="Baskerville Old Face"/>
          <w:lang w:val="en-US"/>
        </w:rPr>
        <w:t xml:space="preserve"> </w:t>
      </w:r>
      <w:r w:rsidRPr="0037083B">
        <w:rPr>
          <w:rFonts w:ascii="Baskerville Old Face" w:hAnsi="Baskerville Old Face"/>
          <w:lang w:val="en-US"/>
        </w:rPr>
        <w:t>implies dealing with a huge number of data services. Consequently, query rewriting</w:t>
      </w:r>
      <w:r>
        <w:rPr>
          <w:rFonts w:ascii="Baskerville Old Face" w:hAnsi="Baskerville Old Face"/>
          <w:lang w:val="en-US"/>
        </w:rPr>
        <w:t xml:space="preserve"> </w:t>
      </w:r>
      <w:r w:rsidRPr="0037083B">
        <w:rPr>
          <w:rFonts w:ascii="Baskerville Old Face" w:hAnsi="Baskerville Old Face"/>
          <w:lang w:val="en-US"/>
        </w:rPr>
        <w:t>activities become more expensive in terms of computing resources and generation</w:t>
      </w:r>
      <w:r>
        <w:rPr>
          <w:rFonts w:ascii="Baskerville Old Face" w:hAnsi="Baskerville Old Face"/>
          <w:lang w:val="en-US"/>
        </w:rPr>
        <w:t xml:space="preserve"> </w:t>
      </w:r>
      <w:r w:rsidRPr="0037083B">
        <w:rPr>
          <w:rFonts w:ascii="Baskerville Old Face" w:hAnsi="Baskerville Old Face"/>
          <w:lang w:val="en-US"/>
        </w:rPr>
        <w:t>time. In this scenario, it is mandatory to develop a method to identify the best</w:t>
      </w:r>
      <w:r>
        <w:rPr>
          <w:rFonts w:ascii="Baskerville Old Face" w:hAnsi="Baskerville Old Face"/>
          <w:lang w:val="en-US"/>
        </w:rPr>
        <w:t xml:space="preserve"> </w:t>
      </w:r>
      <w:r w:rsidRPr="0037083B">
        <w:rPr>
          <w:rFonts w:ascii="Baskerville Old Face" w:hAnsi="Baskerville Old Face"/>
          <w:lang w:val="en-US"/>
        </w:rPr>
        <w:t>services to produce the best compositions that can achieve the user satisfaction.</w:t>
      </w:r>
      <w:r>
        <w:rPr>
          <w:rFonts w:ascii="Baskerville Old Face" w:hAnsi="Baskerville Old Face"/>
          <w:lang w:val="en-US"/>
        </w:rPr>
        <w:t xml:space="preserve"> </w:t>
      </w:r>
      <w:r w:rsidRPr="0037083B">
        <w:rPr>
          <w:rFonts w:ascii="Baskerville Old Face" w:hAnsi="Baskerville Old Face"/>
          <w:lang w:val="en-US"/>
        </w:rPr>
        <w:t>Thus, we have started working in an heuristic to rank data services and compositions</w:t>
      </w:r>
      <w:r>
        <w:rPr>
          <w:rFonts w:ascii="Baskerville Old Face" w:hAnsi="Baskerville Old Face"/>
          <w:lang w:val="en-US"/>
        </w:rPr>
        <w:t xml:space="preserve"> </w:t>
      </w:r>
      <w:r w:rsidRPr="0037083B">
        <w:rPr>
          <w:rFonts w:ascii="Baskerville Old Face" w:hAnsi="Baskerville Old Face"/>
          <w:lang w:val="en-US"/>
        </w:rPr>
        <w:t>based on SLA measures concerning service properties (percentage of availability,</w:t>
      </w:r>
      <w:r>
        <w:rPr>
          <w:rFonts w:ascii="Baskerville Old Face" w:hAnsi="Baskerville Old Face"/>
          <w:lang w:val="en-US"/>
        </w:rPr>
        <w:t xml:space="preserve"> </w:t>
      </w:r>
      <w:r w:rsidRPr="0037083B">
        <w:rPr>
          <w:rFonts w:ascii="Baskerville Old Face" w:hAnsi="Baskerville Old Face"/>
          <w:lang w:val="en-US"/>
        </w:rPr>
        <w:t>response time, throughput and others) and data properties (data type, freshness,</w:t>
      </w:r>
      <w:r>
        <w:rPr>
          <w:rFonts w:ascii="Baskerville Old Face" w:hAnsi="Baskerville Old Face"/>
          <w:lang w:val="en-US"/>
        </w:rPr>
        <w:t xml:space="preserve"> </w:t>
      </w:r>
      <w:r w:rsidRPr="0037083B">
        <w:rPr>
          <w:rFonts w:ascii="Baskerville Old Face" w:hAnsi="Baskerville Old Face"/>
          <w:lang w:val="en-US"/>
        </w:rPr>
        <w:t>veracity, provenance and others).</w:t>
      </w:r>
    </w:p>
    <w:p w:rsidR="0037083B" w:rsidRPr="0037083B" w:rsidRDefault="0037083B" w:rsidP="0037083B">
      <w:pPr>
        <w:jc w:val="both"/>
        <w:rPr>
          <w:rFonts w:ascii="Baskerville Old Face" w:hAnsi="Baskerville Old Face"/>
          <w:lang w:val="en-US"/>
        </w:rPr>
      </w:pPr>
      <w:r w:rsidRPr="00E060CA">
        <w:rPr>
          <w:rFonts w:ascii="Baskerville Old Face" w:hAnsi="Baskerville Old Face"/>
          <w:b/>
          <w:lang w:val="en-US"/>
        </w:rPr>
        <w:t>Definition and formalization of a taxonomy of queries:</w:t>
      </w:r>
      <w:r w:rsidRPr="0037083B">
        <w:rPr>
          <w:rFonts w:ascii="Baskerville Old Face" w:hAnsi="Baskerville Old Face"/>
          <w:lang w:val="en-US"/>
        </w:rPr>
        <w:t xml:space="preserve"> We have defined</w:t>
      </w:r>
      <w:r>
        <w:rPr>
          <w:rFonts w:ascii="Baskerville Old Face" w:hAnsi="Baskerville Old Face"/>
          <w:lang w:val="en-US"/>
        </w:rPr>
        <w:t xml:space="preserve"> </w:t>
      </w:r>
      <w:r w:rsidRPr="0037083B">
        <w:rPr>
          <w:rFonts w:ascii="Baskerville Old Face" w:hAnsi="Baskerville Old Face"/>
          <w:lang w:val="en-US"/>
        </w:rPr>
        <w:t xml:space="preserve">and formalized a set of possible relations between </w:t>
      </w:r>
      <w:r w:rsidR="00E060CA" w:rsidRPr="0037083B">
        <w:rPr>
          <w:rFonts w:ascii="Baskerville Old Face" w:hAnsi="Baskerville Old Face"/>
          <w:lang w:val="en-US"/>
        </w:rPr>
        <w:t>queries, which</w:t>
      </w:r>
      <w:r w:rsidRPr="0037083B">
        <w:rPr>
          <w:rFonts w:ascii="Baskerville Old Face" w:hAnsi="Baskerville Old Face"/>
          <w:lang w:val="en-US"/>
        </w:rPr>
        <w:t xml:space="preserve"> differ in terms of</w:t>
      </w:r>
      <w:r>
        <w:rPr>
          <w:rFonts w:ascii="Baskerville Old Face" w:hAnsi="Baskerville Old Face"/>
          <w:lang w:val="en-US"/>
        </w:rPr>
        <w:t xml:space="preserve"> </w:t>
      </w:r>
      <w:r w:rsidRPr="0037083B">
        <w:rPr>
          <w:rFonts w:ascii="Baskerville Old Face" w:hAnsi="Baskerville Old Face"/>
          <w:lang w:val="en-US"/>
        </w:rPr>
        <w:t>abstract services, service properties and data properties.</w:t>
      </w:r>
    </w:p>
    <w:p w:rsidR="0037083B" w:rsidRPr="0037083B" w:rsidRDefault="0037083B" w:rsidP="0037083B">
      <w:pPr>
        <w:jc w:val="both"/>
        <w:rPr>
          <w:rFonts w:ascii="Baskerville Old Face" w:hAnsi="Baskerville Old Face"/>
          <w:lang w:val="en-US"/>
        </w:rPr>
      </w:pPr>
      <w:r w:rsidRPr="00E060CA">
        <w:rPr>
          <w:rFonts w:ascii="Baskerville Old Face" w:hAnsi="Baskerville Old Face"/>
          <w:b/>
          <w:lang w:val="en-US"/>
        </w:rPr>
        <w:t>A method for reusing queries:</w:t>
      </w:r>
      <w:r w:rsidRPr="0037083B">
        <w:rPr>
          <w:rFonts w:ascii="Baskerville Old Face" w:hAnsi="Baskerville Old Face"/>
          <w:lang w:val="en-US"/>
        </w:rPr>
        <w:t xml:space="preserve"> It </w:t>
      </w:r>
      <w:proofErr w:type="gramStart"/>
      <w:r w:rsidRPr="0037083B">
        <w:rPr>
          <w:rFonts w:ascii="Baskerville Old Face" w:hAnsi="Baskerville Old Face"/>
          <w:lang w:val="en-US"/>
        </w:rPr>
        <w:t xml:space="preserve">is </w:t>
      </w:r>
      <w:r w:rsidR="00E060CA" w:rsidRPr="0037083B">
        <w:rPr>
          <w:rFonts w:ascii="Baskerville Old Face" w:hAnsi="Baskerville Old Face"/>
          <w:lang w:val="en-US"/>
        </w:rPr>
        <w:t>well known</w:t>
      </w:r>
      <w:proofErr w:type="gramEnd"/>
      <w:r w:rsidRPr="0037083B">
        <w:rPr>
          <w:rFonts w:ascii="Baskerville Old Face" w:hAnsi="Baskerville Old Face"/>
          <w:lang w:val="en-US"/>
        </w:rPr>
        <w:t xml:space="preserve"> that query rewriting is expensive.</w:t>
      </w:r>
      <w:r>
        <w:rPr>
          <w:rFonts w:ascii="Baskerville Old Face" w:hAnsi="Baskerville Old Face"/>
          <w:lang w:val="en-US"/>
        </w:rPr>
        <w:t xml:space="preserve"> </w:t>
      </w:r>
      <w:r w:rsidRPr="0037083B">
        <w:rPr>
          <w:rFonts w:ascii="Baskerville Old Face" w:hAnsi="Baskerville Old Face"/>
          <w:lang w:val="en-US"/>
        </w:rPr>
        <w:t>Thus, based on the proposed query taxonomy, we have designed and formalized a</w:t>
      </w:r>
      <w:r>
        <w:rPr>
          <w:rFonts w:ascii="Baskerville Old Face" w:hAnsi="Baskerville Old Face"/>
          <w:lang w:val="en-US"/>
        </w:rPr>
        <w:t xml:space="preserve"> </w:t>
      </w:r>
      <w:r w:rsidRPr="0037083B">
        <w:rPr>
          <w:rFonts w:ascii="Baskerville Old Face" w:hAnsi="Baskerville Old Face"/>
          <w:lang w:val="en-US"/>
        </w:rPr>
        <w:t xml:space="preserve">reusability </w:t>
      </w:r>
      <w:r w:rsidR="00E060CA" w:rsidRPr="0037083B">
        <w:rPr>
          <w:rFonts w:ascii="Baskerville Old Face" w:hAnsi="Baskerville Old Face"/>
          <w:lang w:val="en-US"/>
        </w:rPr>
        <w:t>approach, which</w:t>
      </w:r>
      <w:r w:rsidRPr="0037083B">
        <w:rPr>
          <w:rFonts w:ascii="Baskerville Old Face" w:hAnsi="Baskerville Old Face"/>
          <w:lang w:val="en-US"/>
        </w:rPr>
        <w:t xml:space="preserve"> allows </w:t>
      </w:r>
      <w:r w:rsidR="00E060CA" w:rsidRPr="0037083B">
        <w:rPr>
          <w:rFonts w:ascii="Baskerville Old Face" w:hAnsi="Baskerville Old Face"/>
          <w:lang w:val="en-US"/>
        </w:rPr>
        <w:t>reusing</w:t>
      </w:r>
      <w:r w:rsidRPr="0037083B">
        <w:rPr>
          <w:rFonts w:ascii="Baskerville Old Face" w:hAnsi="Baskerville Old Face"/>
          <w:lang w:val="en-US"/>
        </w:rPr>
        <w:t xml:space="preserve"> data services and compositions from</w:t>
      </w:r>
      <w:r>
        <w:rPr>
          <w:rFonts w:ascii="Baskerville Old Face" w:hAnsi="Baskerville Old Face"/>
          <w:lang w:val="en-US"/>
        </w:rPr>
        <w:t xml:space="preserve"> </w:t>
      </w:r>
      <w:r w:rsidRPr="0037083B">
        <w:rPr>
          <w:rFonts w:ascii="Baskerville Old Face" w:hAnsi="Baskerville Old Face"/>
          <w:lang w:val="en-US"/>
        </w:rPr>
        <w:t>previous integration in order to profit from them.</w:t>
      </w:r>
    </w:p>
    <w:p w:rsidR="0037083B" w:rsidRDefault="0037083B" w:rsidP="0037083B">
      <w:pPr>
        <w:jc w:val="both"/>
        <w:rPr>
          <w:rFonts w:ascii="Baskerville Old Face" w:hAnsi="Baskerville Old Face"/>
          <w:lang w:val="en-US"/>
        </w:rPr>
      </w:pPr>
      <w:r w:rsidRPr="00E060CA">
        <w:rPr>
          <w:rFonts w:ascii="Baskerville Old Face" w:hAnsi="Baskerville Old Face"/>
          <w:b/>
          <w:lang w:val="en-US"/>
        </w:rPr>
        <w:t>Query history data model and implementation:</w:t>
      </w:r>
      <w:r w:rsidRPr="0037083B">
        <w:rPr>
          <w:rFonts w:ascii="Baskerville Old Face" w:hAnsi="Baskerville Old Face"/>
          <w:lang w:val="en-US"/>
        </w:rPr>
        <w:t xml:space="preserve"> The reusability approach </w:t>
      </w:r>
      <w:proofErr w:type="gramStart"/>
      <w:r w:rsidRPr="0037083B">
        <w:rPr>
          <w:rFonts w:ascii="Baskerville Old Face" w:hAnsi="Baskerville Old Face"/>
          <w:lang w:val="en-US"/>
        </w:rPr>
        <w:t>is</w:t>
      </w:r>
      <w:r>
        <w:rPr>
          <w:rFonts w:ascii="Baskerville Old Face" w:hAnsi="Baskerville Old Face"/>
          <w:lang w:val="en-US"/>
        </w:rPr>
        <w:t xml:space="preserve"> </w:t>
      </w:r>
      <w:r w:rsidRPr="0037083B">
        <w:rPr>
          <w:rFonts w:ascii="Baskerville Old Face" w:hAnsi="Baskerville Old Face"/>
          <w:lang w:val="en-US"/>
        </w:rPr>
        <w:t>based</w:t>
      </w:r>
      <w:proofErr w:type="gramEnd"/>
      <w:r w:rsidRPr="0037083B">
        <w:rPr>
          <w:rFonts w:ascii="Baskerville Old Face" w:hAnsi="Baskerville Old Face"/>
          <w:lang w:val="en-US"/>
        </w:rPr>
        <w:t xml:space="preserve"> on a history of previous integrated queries. While defining the query taxonomy</w:t>
      </w:r>
      <w:r>
        <w:rPr>
          <w:rFonts w:ascii="Baskerville Old Face" w:hAnsi="Baskerville Old Face"/>
          <w:lang w:val="en-US"/>
        </w:rPr>
        <w:t xml:space="preserve"> </w:t>
      </w:r>
      <w:r w:rsidRPr="0037083B">
        <w:rPr>
          <w:rFonts w:ascii="Baskerville Old Face" w:hAnsi="Baskerville Old Face"/>
          <w:lang w:val="en-US"/>
        </w:rPr>
        <w:t>and reusability issues, we have identified the key information that should be part</w:t>
      </w:r>
      <w:r>
        <w:rPr>
          <w:rFonts w:ascii="Baskerville Old Face" w:hAnsi="Baskerville Old Face"/>
          <w:lang w:val="en-US"/>
        </w:rPr>
        <w:t xml:space="preserve"> </w:t>
      </w:r>
      <w:r w:rsidRPr="0037083B">
        <w:rPr>
          <w:rFonts w:ascii="Baskerville Old Face" w:hAnsi="Baskerville Old Face"/>
          <w:lang w:val="en-US"/>
        </w:rPr>
        <w:t xml:space="preserve">of the history allowing a satisfactory reusability process. A </w:t>
      </w:r>
      <w:proofErr w:type="gramStart"/>
      <w:r w:rsidRPr="0037083B">
        <w:rPr>
          <w:rFonts w:ascii="Baskerville Old Face" w:hAnsi="Baskerville Old Face"/>
          <w:lang w:val="en-US"/>
        </w:rPr>
        <w:t>query history data</w:t>
      </w:r>
      <w:r>
        <w:rPr>
          <w:rFonts w:ascii="Baskerville Old Face" w:hAnsi="Baskerville Old Face"/>
          <w:lang w:val="en-US"/>
        </w:rPr>
        <w:t xml:space="preserve"> </w:t>
      </w:r>
      <w:r w:rsidRPr="0037083B">
        <w:rPr>
          <w:rFonts w:ascii="Baskerville Old Face" w:hAnsi="Baskerville Old Face"/>
          <w:lang w:val="en-US"/>
        </w:rPr>
        <w:t>model</w:t>
      </w:r>
      <w:proofErr w:type="gramEnd"/>
      <w:r w:rsidRPr="0037083B">
        <w:rPr>
          <w:rFonts w:ascii="Baskerville Old Face" w:hAnsi="Baskerville Old Face"/>
          <w:lang w:val="en-US"/>
        </w:rPr>
        <w:t>, which includes queries, abstract services, data services and compositions,</w:t>
      </w:r>
      <w:r>
        <w:rPr>
          <w:rFonts w:ascii="Baskerville Old Face" w:hAnsi="Baskerville Old Face"/>
          <w:lang w:val="en-US"/>
        </w:rPr>
        <w:t xml:space="preserve"> </w:t>
      </w:r>
      <w:r w:rsidRPr="0037083B">
        <w:rPr>
          <w:rFonts w:ascii="Baskerville Old Face" w:hAnsi="Baskerville Old Face"/>
          <w:lang w:val="en-US"/>
        </w:rPr>
        <w:t>was designed using the collected information. Further, the Rhone algorithm was</w:t>
      </w:r>
      <w:r>
        <w:rPr>
          <w:rFonts w:ascii="Baskerville Old Face" w:hAnsi="Baskerville Old Face"/>
          <w:lang w:val="en-US"/>
        </w:rPr>
        <w:t xml:space="preserve"> </w:t>
      </w:r>
      <w:r w:rsidRPr="0037083B">
        <w:rPr>
          <w:rFonts w:ascii="Baskerville Old Face" w:hAnsi="Baskerville Old Face"/>
          <w:lang w:val="en-US"/>
        </w:rPr>
        <w:t>adapted to be in accordance with the model.</w:t>
      </w:r>
    </w:p>
    <w:p w:rsidR="00E060CA" w:rsidRDefault="00E060CA" w:rsidP="0037083B">
      <w:pPr>
        <w:jc w:val="both"/>
        <w:rPr>
          <w:rFonts w:ascii="Baskerville Old Face" w:hAnsi="Baskerville Old Face"/>
          <w:b/>
          <w:u w:val="single"/>
          <w:lang w:val="en-US"/>
        </w:rPr>
      </w:pPr>
      <w:r w:rsidRPr="00E060CA">
        <w:rPr>
          <w:rFonts w:ascii="Baskerville Old Face" w:hAnsi="Baskerville Old Face"/>
          <w:b/>
          <w:u w:val="single"/>
          <w:lang w:val="en-US"/>
        </w:rPr>
        <w:t>3. Perspectives</w:t>
      </w:r>
    </w:p>
    <w:p w:rsidR="00E060CA" w:rsidRDefault="002B710C" w:rsidP="00E060CA">
      <w:pPr>
        <w:jc w:val="both"/>
        <w:rPr>
          <w:rFonts w:ascii="Baskerville Old Face" w:hAnsi="Baskerville Old Face"/>
          <w:lang w:val="en-US"/>
        </w:rPr>
      </w:pPr>
      <w:r>
        <w:rPr>
          <w:rFonts w:ascii="Baskerville Old Face" w:hAnsi="Baskerville Old Face"/>
          <w:noProof/>
          <w:lang w:eastAsia="fr-FR"/>
        </w:rPr>
        <w:drawing>
          <wp:anchor distT="0" distB="0" distL="114300" distR="114300" simplePos="0" relativeHeight="251665408" behindDoc="0" locked="0" layoutInCell="1" allowOverlap="1" wp14:anchorId="152AB9D6" wp14:editId="2327FA25">
            <wp:simplePos x="0" y="0"/>
            <wp:positionH relativeFrom="margin">
              <wp:align>center</wp:align>
            </wp:positionH>
            <wp:positionV relativeFrom="paragraph">
              <wp:posOffset>431689</wp:posOffset>
            </wp:positionV>
            <wp:extent cx="5207635" cy="185356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07635" cy="1853565"/>
                    </a:xfrm>
                    <a:prstGeom prst="rect">
                      <a:avLst/>
                    </a:prstGeom>
                    <a:noFill/>
                  </pic:spPr>
                </pic:pic>
              </a:graphicData>
            </a:graphic>
          </wp:anchor>
        </w:drawing>
      </w:r>
      <w:r w:rsidR="00E060CA" w:rsidRPr="00E060CA">
        <w:rPr>
          <w:rFonts w:ascii="Baskerville Old Face" w:hAnsi="Baskerville Old Face"/>
          <w:lang w:val="en-US"/>
        </w:rPr>
        <w:t>Our perspective is to tackle what is remaining in the contributions while writing the</w:t>
      </w:r>
      <w:r w:rsidR="00E060CA">
        <w:rPr>
          <w:rFonts w:ascii="Baskerville Old Face" w:hAnsi="Baskerville Old Face"/>
          <w:lang w:val="en-US"/>
        </w:rPr>
        <w:t xml:space="preserve"> final thesis document</w:t>
      </w:r>
      <w:r w:rsidR="00E060CA" w:rsidRPr="00E060CA">
        <w:rPr>
          <w:rFonts w:ascii="Baskerville Old Face" w:hAnsi="Baskerville Old Face"/>
          <w:lang w:val="en-US"/>
        </w:rPr>
        <w:t>.</w:t>
      </w:r>
      <w:r w:rsidR="00E060CA">
        <w:rPr>
          <w:rFonts w:ascii="Baskerville Old Face" w:hAnsi="Baskerville Old Face"/>
          <w:lang w:val="en-US"/>
        </w:rPr>
        <w:t xml:space="preserve"> Our intended calendar presented below:</w:t>
      </w:r>
    </w:p>
    <w:p w:rsidR="00E060CA" w:rsidRPr="00E060CA" w:rsidRDefault="00E060CA" w:rsidP="00E060CA">
      <w:pPr>
        <w:jc w:val="both"/>
        <w:rPr>
          <w:rFonts w:ascii="Baskerville Old Face" w:hAnsi="Baskerville Old Face"/>
          <w:lang w:val="en-US"/>
        </w:rPr>
      </w:pPr>
      <w:bookmarkStart w:id="0" w:name="_GoBack"/>
      <w:bookmarkEnd w:id="0"/>
      <w:r w:rsidRPr="00E060CA">
        <w:rPr>
          <w:rFonts w:ascii="Baskerville Old Face" w:hAnsi="Baskerville Old Face"/>
          <w:noProof/>
          <w:lang w:eastAsia="fr-FR"/>
        </w:rPr>
        <mc:AlternateContent>
          <mc:Choice Requires="wps">
            <w:drawing>
              <wp:anchor distT="0" distB="0" distL="114300" distR="114300" simplePos="0" relativeHeight="251664384" behindDoc="0" locked="0" layoutInCell="1" allowOverlap="1" wp14:anchorId="7EA5FAC1" wp14:editId="4091CC1A">
                <wp:simplePos x="0" y="0"/>
                <wp:positionH relativeFrom="column">
                  <wp:posOffset>7557135</wp:posOffset>
                </wp:positionH>
                <wp:positionV relativeFrom="paragraph">
                  <wp:posOffset>2188845</wp:posOffset>
                </wp:positionV>
                <wp:extent cx="1296000" cy="108000"/>
                <wp:effectExtent l="0" t="0" r="19050" b="25400"/>
                <wp:wrapNone/>
                <wp:docPr id="13" name="Retângulo 12"/>
                <wp:cNvGraphicFramePr/>
                <a:graphic xmlns:a="http://schemas.openxmlformats.org/drawingml/2006/main">
                  <a:graphicData uri="http://schemas.microsoft.com/office/word/2010/wordprocessingShape">
                    <wps:wsp>
                      <wps:cNvSpPr/>
                      <wps:spPr>
                        <a:xfrm>
                          <a:off x="0" y="0"/>
                          <a:ext cx="1296000" cy="10800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tlCol="0" anchor="ctr"/>
                    </wps:wsp>
                  </a:graphicData>
                </a:graphic>
              </wp:anchor>
            </w:drawing>
          </mc:Choice>
          <mc:Fallback>
            <w:pict>
              <v:rect w14:anchorId="11EC05D4" id="Retângulo 12" o:spid="_x0000_s1026" style="position:absolute;margin-left:595.05pt;margin-top:172.35pt;width:102.05pt;height: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" fillcolor="#4472c4 [3208]" strokecolor="#1f3763 [1608]" strokeweight="1pt"/>
            </w:pict>
          </mc:Fallback>
        </mc:AlternateContent>
      </w:r>
    </w:p>
    <w:sectPr w:rsidR="00E060CA" w:rsidRPr="00E060CA" w:rsidSect="00B57021">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07C"/>
    <w:multiLevelType w:val="hybridMultilevel"/>
    <w:tmpl w:val="E716E0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C154D1"/>
    <w:multiLevelType w:val="hybridMultilevel"/>
    <w:tmpl w:val="D8ACB6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E1D0ABD"/>
    <w:multiLevelType w:val="hybridMultilevel"/>
    <w:tmpl w:val="34EE1D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24"/>
    <w:rsid w:val="000220BD"/>
    <w:rsid w:val="001159C7"/>
    <w:rsid w:val="002B710C"/>
    <w:rsid w:val="0037083B"/>
    <w:rsid w:val="00577724"/>
    <w:rsid w:val="00580F0E"/>
    <w:rsid w:val="00B57021"/>
    <w:rsid w:val="00C03A38"/>
    <w:rsid w:val="00E060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F199D-4012-4F43-96F4-4983CACA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57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23495">
      <w:bodyDiv w:val="1"/>
      <w:marLeft w:val="0"/>
      <w:marRight w:val="0"/>
      <w:marTop w:val="0"/>
      <w:marBottom w:val="0"/>
      <w:divBdr>
        <w:top w:val="none" w:sz="0" w:space="0" w:color="auto"/>
        <w:left w:val="none" w:sz="0" w:space="0" w:color="auto"/>
        <w:bottom w:val="none" w:sz="0" w:space="0" w:color="auto"/>
        <w:right w:val="none" w:sz="0" w:space="0" w:color="auto"/>
      </w:divBdr>
    </w:div>
    <w:div w:id="50660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F59F3-441D-4647-B8B5-6A81136E4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1156</Words>
  <Characters>6359</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2017-05-29T10:46:00Z</dcterms:created>
  <dcterms:modified xsi:type="dcterms:W3CDTF">2017-05-30T17:45:00Z</dcterms:modified>
</cp:coreProperties>
</file>