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27.png" ContentType="image/png"/>
  <Override PartName="/word/media/rId35.png" ContentType="image/png"/>
  <Override PartName="/word/media/rId60.png" ContentType="image/png"/>
  <Override PartName="/word/media/rId39.png" ContentType="image/png"/>
  <Override PartName="/word/media/rId51.png" ContentType="image/png"/>
  <Override PartName="/word/media/rId82.png" ContentType="image/png"/>
  <Override PartName="/word/media/rId30.png" ContentType="image/png"/>
  <Override PartName="/word/media/rId64.png" ContentType="image/png"/>
  <Override PartName="/word/media/rId68.png" ContentType="image/png"/>
  <Override PartName="/word/media/rId44.png" ContentType="image/png"/>
  <Override PartName="/word/media/rId87.png" ContentType="image/png"/>
  <Override PartName="/word/media/rId74.png" ContentType="image/png"/>
  <Override PartName="/word/media/rId98.png" ContentType="image/png"/>
  <Override PartName="/word/media/rId9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bookmarkStart w:id="26"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w:t>
      </w:r>
    </w:p>
    <w:p>
      <w:pPr>
        <w:pStyle w:val="BodyText"/>
      </w:pPr>
      <w:r>
        <w:t xml:space="preserve">In a context of increasing challanges to social welfare in Ireland, it is crucial to have a better understanding of the public support to State actions designed to address these challenges.</w:t>
      </w:r>
    </w:p>
    <w:p>
      <w:pPr>
        <w:pStyle w:val="BodyText"/>
      </w:pPr>
      <w:r>
        <w:t xml:space="preserve">With this objective, the current report presents the findings of a research project that explored attitudes towards welfare and redistributive policies among Irish residents. Ireland offers a particularly relevant context for this research. Over the past few decades, the Irish society experienced different levels of economic growth, income inequality, and poverty</w:t>
      </w:r>
      <w:r>
        <w:t xml:space="preserve"> </w:t>
      </w:r>
      <w:r>
        <w:t xml:space="preserve">Roantree, Maître, and Russell (</w:t>
      </w:r>
      <w:hyperlink w:anchor="ref-roantree_poverty_2024">
        <w:r>
          <w:rPr>
            <w:rStyle w:val="Hyperlink"/>
          </w:rPr>
          <w:t xml:space="preserve">2024</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p>
    <w:p>
      <w:pPr>
        <w:numPr>
          <w:ilvl w:val="0"/>
          <w:numId w:val="1001"/>
        </w:numPr>
      </w:pPr>
      <w:r>
        <w:rPr>
          <w:b/>
          <w:bCs/>
        </w:rPr>
        <w:t xml:space="preserve">Who</w:t>
      </w:r>
      <w:r>
        <w:t xml:space="preserve"> </w:t>
      </w:r>
      <w:r>
        <w:t xml:space="preserve">in Ireland supports income redistribution?</w:t>
      </w:r>
    </w:p>
    <w:p>
      <w:pPr>
        <w:numPr>
          <w:ilvl w:val="0"/>
          <w:numId w:val="1001"/>
        </w:numPr>
      </w:pPr>
      <w:r>
        <w:rPr>
          <w:b/>
          <w:bCs/>
        </w:rPr>
        <w:t xml:space="preserve">What</w:t>
      </w:r>
      <w:r>
        <w:t xml:space="preserve"> </w:t>
      </w:r>
      <w:r>
        <w:t xml:space="preserve">are the main attitudes in relation to welfare policies in Ireland?</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r>
        <w:t xml:space="preserve">The</w:t>
      </w:r>
      <w:r>
        <w:t xml:space="preserve"> </w:t>
      </w:r>
      <w:hyperlink r:id="rId20">
        <w:r>
          <w:rPr>
            <w:rStyle w:val="Hyperlink"/>
          </w:rPr>
          <w:t xml:space="preserve">first chapter</w:t>
        </w:r>
      </w:hyperlink>
      <w:r>
        <w:t xml:space="preserve"> </w:t>
      </w:r>
      <w:r>
        <w:t xml:space="preserve">in this report addresses the first question of a diffuse and generalised support for income and wealth redistribution in the Irish society. The</w:t>
      </w:r>
      <w:r>
        <w:t xml:space="preserve"> </w:t>
      </w:r>
      <w:hyperlink r:id="rId21">
        <w:r>
          <w:rPr>
            <w:rStyle w:val="Hyperlink"/>
          </w:rPr>
          <w:t xml:space="preserve">second chapter</w:t>
        </w:r>
      </w:hyperlink>
      <w:r>
        <w:t xml:space="preserve">, addressing the second question, examines more specific support to welfare policies, beliefs about social benefits and their benifitiaries. The</w:t>
      </w:r>
      <w:r>
        <w:t xml:space="preserve"> </w:t>
      </w:r>
      <w:hyperlink r:id="rId22">
        <w:r>
          <w:rPr>
            <w:rStyle w:val="Hyperlink"/>
          </w:rPr>
          <w:t xml:space="preserve">final chapter</w:t>
        </w:r>
      </w:hyperlink>
      <w:r>
        <w:t xml:space="preserve"> </w:t>
      </w:r>
      <w:r>
        <w:t xml:space="preserve">looks at change over time in relation to these topics and explores the possible impact of the economic recession and the pandemic.</w:t>
      </w:r>
    </w:p>
    <w:bookmarkStart w:id="23" w:name="key-points"/>
    <w:p>
      <w:pPr>
        <w:pStyle w:val="Heading2"/>
      </w:pPr>
      <w:r>
        <w:t xml:space="preserve">1.1 Key points</w:t>
      </w:r>
    </w:p>
    <w:p>
      <w:pPr>
        <w:numPr>
          <w:ilvl w:val="0"/>
          <w:numId w:val="1002"/>
        </w:numPr>
      </w:pPr>
      <w:r>
        <w:t xml:space="preserve">ESS respondents from lower social classes and in worse financial situation are more likely to agree that the government should reduce differences in income levels (</w:t>
      </w:r>
      <w:hyperlink w:anchor="tbl-multiv-gincdif">
        <w:r>
          <w:rPr>
            <w:rStyle w:val="Hyperlink"/>
          </w:rPr>
          <w:t xml:space="preserve">Table 1</w:t>
        </w:r>
      </w:hyperlink>
      <w:r>
        <w:t xml:space="preserve">).</w:t>
      </w:r>
    </w:p>
    <w:p>
      <w:pPr>
        <w:numPr>
          <w:ilvl w:val="0"/>
          <w:numId w:val="1002"/>
        </w:numPr>
      </w:pPr>
      <w:r>
        <w:t xml:space="preserve">Ireland has the third highest proportion of residents (58%) compared to other European countries who agree that‘Large differences in people’s incomes are acceptable to properly reward differences in talents and efforts’.</w:t>
      </w:r>
    </w:p>
    <w:p>
      <w:pPr>
        <w:numPr>
          <w:ilvl w:val="0"/>
          <w:numId w:val="1002"/>
        </w:numPr>
      </w:pPr>
      <w:r>
        <w:t xml:space="preserve">Respondents in worse financial situation (subjective self-reported) tend to agree less that social benefits are disincentives for work, economy and social cooperation.</w:t>
      </w:r>
    </w:p>
    <w:p>
      <w:pPr>
        <w:numPr>
          <w:ilvl w:val="0"/>
          <w:numId w:val="1002"/>
        </w:numPr>
      </w:pPr>
      <w:r>
        <w:t xml:space="preserve">Over time, there is an overall stable support for government’s role in reducing differences in income levels (</w:t>
      </w:r>
      <w:hyperlink w:anchor="fig-ess-time">
        <w:r>
          <w:rPr>
            <w:rStyle w:val="Hyperlink"/>
          </w:rPr>
          <w:t xml:space="preserve">Figure 7</w:t>
        </w:r>
      </w:hyperlink>
      <w:r>
        <w:t xml:space="preserve">) and for wealth redistribution (</w:t>
      </w:r>
      <w:hyperlink w:anchor="fig-vs-time">
        <w:r>
          <w:rPr>
            <w:rStyle w:val="Hyperlink"/>
          </w:rPr>
          <w:t xml:space="preserve">Figure 8</w:t>
        </w:r>
      </w:hyperlink>
      <w:r>
        <w:t xml:space="preserve">).</w:t>
      </w:r>
    </w:p>
    <w:p>
      <w:pPr>
        <w:numPr>
          <w:ilvl w:val="0"/>
          <w:numId w:val="1002"/>
        </w:numPr>
      </w:pPr>
      <w:r>
        <w:t xml:space="preserve">From 2008 to 2016, there was a significant reduction on the average agreement that social benefits pplace too great strain on economy (</w:t>
      </w:r>
      <w:hyperlink w:anchor="fig-benefits">
        <w:r>
          <w:rPr>
            <w:rStyle w:val="Hyperlink"/>
          </w:rPr>
          <w:t xml:space="preserve">Figure 5</w:t>
        </w:r>
      </w:hyperlink>
      <w:r>
        <w:t xml:space="preserve">)</w:t>
      </w:r>
    </w:p>
    <w:p>
      <w:pPr>
        <w:numPr>
          <w:ilvl w:val="0"/>
          <w:numId w:val="1002"/>
        </w:numPr>
      </w:pPr>
      <w:r>
        <w:t xml:space="preserve">There is a trajectory of increasing support for redistribution across skilled and unskilled workers since round 8 (2016). However, for lower-grade service class and small business owners, there seems to be a break in this trajectory captured in the latest wave (</w:t>
      </w:r>
      <w:r>
        <w:rPr>
          <w:b/>
          <w:bCs/>
        </w:rPr>
        <w:t xml:space="preserve">?@fig-class5-time</w:t>
      </w:r>
      <w:r>
        <w:t xml:space="preserve">)</w:t>
      </w:r>
    </w:p>
    <w:bookmarkEnd w:id="23"/>
    <w:bookmarkStart w:id="25"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ambivalences in welfare attitudes</w:t>
      </w:r>
      <w:r>
        <w:t xml:space="preserve"> </w:t>
      </w:r>
      <w:r>
        <w:t xml:space="preserve">Goerres and Prinzen (</w:t>
      </w:r>
      <w:hyperlink w:anchor="ref-goerres_can_2012">
        <w:r>
          <w:rPr>
            <w:rStyle w:val="Hyperlink"/>
          </w:rPr>
          <w:t xml:space="preserve">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4"/>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 Oesch</w:t>
      </w:r>
      <w:r>
        <w:t xml:space="preserve"> </w:t>
      </w:r>
      <w:r>
        <w:t xml:space="preserve">(</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behavious and political attitudes.</w:t>
      </w:r>
    </w:p>
    <w:bookmarkEnd w:id="25"/>
    <w:bookmarkEnd w:id="26"/>
    <w:bookmarkStart w:id="49"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tc>
      </w:tr>
    </w:tbl>
    <w:p>
      <w:pPr>
        <w:pStyle w:val="BodyText"/>
      </w:pPr>
      <w:r>
        <w:t xml:space="preserve">The original scale of this variable was inverted for our analysis. So, in the results presented in this report, higher values denote stronger agreement with government reducing income differences.</w:t>
      </w:r>
    </w:p>
    <w:p>
      <w:pPr>
        <w:pStyle w:val="BodyText"/>
      </w:pPr>
      <w:r>
        <w:t xml:space="preserve">Recent studies have raised concerns in relation to the reliability of this question as a measurement of support for redistribution. Margalit and Raviv</w:t>
      </w:r>
      <w:r>
        <w:t xml:space="preserve"> </w:t>
      </w:r>
      <w:r>
        <w:t xml:space="preserve">(</w:t>
      </w:r>
      <w:hyperlink w:anchor="ref-margalit_does_2024">
        <w:r>
          <w:rPr>
            <w:rStyle w:val="Hyperlink"/>
          </w:rPr>
          <w:t xml:space="preserve">2024</w:t>
        </w:r>
      </w:hyperlink>
      <w:r>
        <w:t xml:space="preserve">)</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Dallinger (</w:t>
      </w:r>
      <w:hyperlink w:anchor="ref-dallinger_ambivalence_2022">
        <w:r>
          <w:rPr>
            <w:rStyle w:val="Hyperlink"/>
          </w:rPr>
          <w:t xml:space="preserve">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4" w:name="europe"/>
    <w:p>
      <w:pPr>
        <w:pStyle w:val="Heading2"/>
      </w:pPr>
      <w:r>
        <w:t xml:space="preserve">2.1 Europe</w:t>
      </w:r>
    </w:p>
    <w:p>
      <w:pPr>
        <w:pStyle w:val="FirstParagraph"/>
      </w:pPr>
      <w:r>
        <w:t xml:space="preserve">The mean levels of support for income redistribution shown in</w:t>
      </w:r>
      <w:r>
        <w:t xml:space="preserve"> </w:t>
      </w:r>
      <w:hyperlink w:anchor="fig-eumap">
        <w:r>
          <w:rPr>
            <w:rStyle w:val="Hyperlink"/>
          </w:rPr>
          <w:t xml:space="preserve">Figure 1</w:t>
        </w:r>
      </w:hyperlink>
      <w:r>
        <w:t xml:space="preserve"> </w:t>
      </w:r>
      <w:r>
        <w:t xml:space="preserve">is in line with the geographical divide identified before</w:t>
      </w:r>
      <w:r>
        <w:t xml:space="preserve"> </w:t>
      </w:r>
      <w:r>
        <w:t xml:space="preserve">Meuleman et al. (</w:t>
      </w:r>
      <w:hyperlink w:anchor="ref-meuleman_past_2018">
        <w:r>
          <w:rPr>
            <w:rStyle w:val="Hyperlink"/>
          </w:rPr>
          <w:t xml:space="preserve">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arguing that countries with higher income inequality tend to be more supportive of income redistribution. The mean value for Ireland (3.95) is slightly higher compared to other countries in the north of Europe such as the United Kingdom (3.82) and the Netherlands (3.63).</w:t>
      </w:r>
    </w:p>
    <w:tbl>
      <w:tblPr>
        <w:tblStyle w:val="Table"/>
        <w:tblW w:type="pct" w:w="5000"/>
        <w:tblLayout w:type="fixed"/>
        <w:tblLook w:firstRow="0" w:lastRow="0" w:firstColumn="0" w:lastColumn="0" w:noHBand="0" w:noVBand="0" w:val="0000"/>
      </w:tblPr>
      <w:tblGrid>
        <w:gridCol w:w="7920"/>
      </w:tblGrid>
      <w:tr>
        <w:tc>
          <w:tcPr/>
          <w:bookmarkStart w:id="33" w:name="fig-eumap"/>
          <w:p>
            <w:pPr>
              <w:jc w:val="center"/>
            </w:pPr>
            <w:pPr>
              <w:jc w:val="start"/>
              <w:spacing w:before="200"/>
              <w:pStyle w:val="ImageCaption"/>
            </w:pPr>
            <w:r>
              <w:t xml:space="preserve">Figure 1: Mean value for</w:t>
            </w:r>
            <w:r>
              <w:t xml:space="preserve"> </w:t>
            </w:r>
            <w:r>
              <w:t xml:space="preserve">‘Governement should reduce income differences’</w:t>
            </w:r>
            <w:r>
              <w:t xml:space="preserve">, Europe, 2023</w:t>
            </w:r>
          </w:p>
          <w:p>
            <w:pPr>
              <w:pStyle w:val="Compact"/>
              <w:jc w:val="center"/>
            </w:pPr>
            <w:r>
              <w:drawing>
                <wp:inline>
                  <wp:extent cx="4160520" cy="3328415"/>
                  <wp:effectExtent b="0" l="0" r="0" t="0"/>
                  <wp:docPr descr="" title="" id="31" name="Picture"/>
                  <a:graphic>
                    <a:graphicData uri="http://schemas.openxmlformats.org/drawingml/2006/picture">
                      <pic:pic>
                        <pic:nvPicPr>
                          <pic:cNvPr descr="_assets/img/fig_eumap.png" id="32" name="Picture"/>
                          <pic:cNvPicPr>
                            <a:picLocks noChangeArrowheads="1" noChangeAspect="1"/>
                          </pic:cNvPicPr>
                        </pic:nvPicPr>
                        <pic:blipFill>
                          <a:blip r:embed="rId30"/>
                          <a:stretch>
                            <a:fillRect/>
                          </a:stretch>
                        </pic:blipFill>
                        <pic:spPr bwMode="auto">
                          <a:xfrm>
                            <a:off x="0" y="0"/>
                            <a:ext cx="4160520" cy="3328415"/>
                          </a:xfrm>
                          <a:prstGeom prst="rect">
                            <a:avLst/>
                          </a:prstGeom>
                          <a:noFill/>
                          <a:ln w="9525">
                            <a:noFill/>
                            <a:headEnd/>
                            <a:tailEnd/>
                          </a:ln>
                        </pic:spPr>
                      </pic:pic>
                    </a:graphicData>
                  </a:graphic>
                </wp:inline>
              </w:drawing>
            </w:r>
          </w:p>
          <w:bookmarkEnd w:id="33"/>
        </w:tc>
      </w:tr>
    </w:tbl>
    <w:p>
      <w:pPr>
        <w:pStyle w:val="BodyText"/>
      </w:pPr>
      <w:r>
        <w:t xml:space="preserve">Source: European Social Survey</w:t>
      </w:r>
    </w:p>
    <w:bookmarkEnd w:id="34"/>
    <w:bookmarkStart w:id="43" w:name="gender-age-and-social-class"/>
    <w:p>
      <w:pPr>
        <w:pStyle w:val="Heading2"/>
      </w:pPr>
      <w:r>
        <w:t xml:space="preserve">2.2 Gender, age and social class</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Garritzmann and Schwander (</w:t>
      </w:r>
      <w:hyperlink w:anchor="ref-garritzmann_gender_2021">
        <w:r>
          <w:rPr>
            <w:rStyle w:val="Hyperlink"/>
          </w:rPr>
          <w:t xml:space="preserve">2021</w:t>
        </w:r>
      </w:hyperlink>
      <w:r>
        <w:t xml:space="preserve">)</w:t>
      </w:r>
      <w:r>
        <w:t xml:space="preserve">. Considering the marked gender differences in access to the labour market and levels of pay in Ireland</w:t>
      </w:r>
      <w:r>
        <w:t xml:space="preserve"> </w:t>
      </w:r>
      <w:r>
        <w:t xml:space="preserve">Hingre et al. (</w:t>
      </w:r>
      <w:hyperlink w:anchor="ref-hingre_gender_2024">
        <w:r>
          <w:rPr>
            <w:rStyle w:val="Hyperlink"/>
          </w:rPr>
          <w:t xml:space="preserve">2024</w:t>
        </w:r>
      </w:hyperlink>
      <w:r>
        <w:t xml:space="preserve">)</w:t>
      </w:r>
      <w:r>
        <w:t xml:space="preserve">, it is plausible to also expect differences in demands for income redistirbution.</w:t>
      </w:r>
    </w:p>
    <w:p>
      <w:pPr>
        <w:pStyle w:val="BodyText"/>
      </w:pPr>
      <w:r>
        <w:t xml:space="preserve">However, on average, it is not possible to identify statistically significant differences for male and female individuals in Ireland. The ESS question on the government role has a similar mean values for male (3.96) and female (3.94) respondents. Similarly, the voter study identified similar mean values for wealth redistribution across male (6.3) and female (6.15) participants.</w:t>
      </w:r>
    </w:p>
    <w:p>
      <w:pPr>
        <w:pStyle w:val="BodyText"/>
      </w:pPr>
      <w:r>
        <w:t xml:space="preserve">On the other hand, there seems to be an age pattern where younger respondents tend to be more supportive of income redistribution in Ireland. As shown in</w:t>
      </w:r>
      <w:r>
        <w:t xml:space="preserve"> </w:t>
      </w:r>
      <w:hyperlink w:anchor="fig-age-eu">
        <w:r>
          <w:rPr>
            <w:rStyle w:val="Hyperlink"/>
          </w:rPr>
          <w:t xml:space="preserve">Figure 2</w:t>
        </w:r>
      </w:hyperlink>
      <w:r>
        <w:t xml:space="preserve">, the opposite patter is observed in Germany, Finland, France, and Portugal. Although the UK also has a similar negative relationshop between age and support, it seems to be less pronounced compared to Ireland. This association is further explored in</w:t>
      </w:r>
      <w:r>
        <w:t xml:space="preserve"> </w:t>
      </w:r>
      <w:hyperlink r:id="rId22">
        <w:r>
          <w:rPr>
            <w:rStyle w:val="Hyperlink"/>
          </w:rPr>
          <w:t xml:space="preserve">Chapter 3</w:t>
        </w:r>
      </w:hyperlink>
      <w:r>
        <w:t xml:space="preserve"> </w:t>
      </w:r>
      <w:r>
        <w:t xml:space="preserve">investigating potential generational changes.</w:t>
      </w:r>
    </w:p>
    <w:tbl>
      <w:tblPr>
        <w:tblStyle w:val="Table"/>
        <w:tblW w:type="pct" w:w="5000"/>
        <w:tblLayout w:type="fixed"/>
        <w:tblLook w:firstRow="0" w:lastRow="0" w:firstColumn="0" w:lastColumn="0" w:noHBand="0" w:noVBand="0" w:val="0000"/>
      </w:tblPr>
      <w:tblGrid>
        <w:gridCol w:w="7920"/>
      </w:tblGrid>
      <w:tr>
        <w:tc>
          <w:tcPr/>
          <w:bookmarkStart w:id="38" w:name="fig-age-eu"/>
          <w:p>
            <w:pPr>
              <w:jc w:val="center"/>
            </w:pPr>
            <w:pPr>
              <w:jc w:val="start"/>
              <w:spacing w:before="200"/>
              <w:pStyle w:val="ImageCaption"/>
            </w:pPr>
            <w:r>
              <w:t xml:space="preserve">Figure 2: Scatter plot for</w:t>
            </w:r>
            <w:r>
              <w:t xml:space="preserve"> </w:t>
            </w:r>
            <w:r>
              <w:t xml:space="preserve">‘reduce income differences’</w:t>
            </w:r>
            <w:r>
              <w:t xml:space="preserve"> </w:t>
            </w:r>
            <w:r>
              <w:t xml:space="preserve">by age and country, 2023</w:t>
            </w:r>
          </w:p>
          <w:p>
            <w:pPr>
              <w:pStyle w:val="Compact"/>
              <w:jc w:val="center"/>
            </w:pPr>
            <w:r>
              <w:drawing>
                <wp:inline>
                  <wp:extent cx="4160520" cy="3328415"/>
                  <wp:effectExtent b="0" l="0" r="0" t="0"/>
                  <wp:docPr descr="" title="" id="36" name="Picture"/>
                  <a:graphic>
                    <a:graphicData uri="http://schemas.openxmlformats.org/drawingml/2006/picture">
                      <pic:pic>
                        <pic:nvPicPr>
                          <pic:cNvPr descr="_assets/img/fig_age_eu.png" id="37" name="Picture"/>
                          <pic:cNvPicPr>
                            <a:picLocks noChangeArrowheads="1" noChangeAspect="1"/>
                          </pic:cNvPicPr>
                        </pic:nvPicPr>
                        <pic:blipFill>
                          <a:blip r:embed="rId35"/>
                          <a:stretch>
                            <a:fillRect/>
                          </a:stretch>
                        </pic:blipFill>
                        <pic:spPr bwMode="auto">
                          <a:xfrm>
                            <a:off x="0" y="0"/>
                            <a:ext cx="4160520" cy="3328415"/>
                          </a:xfrm>
                          <a:prstGeom prst="rect">
                            <a:avLst/>
                          </a:prstGeom>
                          <a:noFill/>
                          <a:ln w="9525">
                            <a:noFill/>
                            <a:headEnd/>
                            <a:tailEnd/>
                          </a:ln>
                        </pic:spPr>
                      </pic:pic>
                    </a:graphicData>
                  </a:graphic>
                </wp:inline>
              </w:drawing>
            </w:r>
          </w:p>
          <w:bookmarkEnd w:id="38"/>
        </w:tc>
      </w:tr>
    </w:tbl>
    <w:p>
      <w:pPr>
        <w:pStyle w:val="BodyText"/>
      </w:pPr>
      <w:r>
        <w:t xml:space="preserve">The analysis by social class suggests a negative relationship between class and the main ESS response variable. The mean values shown in</w:t>
      </w:r>
      <w:r>
        <w:t xml:space="preserve"> </w:t>
      </w:r>
      <w:hyperlink w:anchor="fig-class5">
        <w:r>
          <w:rPr>
            <w:rStyle w:val="Hyperlink"/>
          </w:rPr>
          <w:t xml:space="preserve">Figure 3</w:t>
        </w:r>
      </w:hyperlink>
      <w:r>
        <w:t xml:space="preserve"> </w:t>
      </w:r>
      <w:r>
        <w:t xml:space="preserve">indicate that</w:t>
      </w:r>
      <w:r>
        <w:t xml:space="preserve"> </w:t>
      </w:r>
      <w:r>
        <w:t xml:space="preserve">‘unskilled workers’</w:t>
      </w:r>
      <w:r>
        <w:t xml:space="preserve"> </w:t>
      </w:r>
      <w:r>
        <w:t xml:space="preserve">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t>
      </w:r>
      <w:r>
        <w:t xml:space="preserve">show lower levels of agreement.</w:t>
      </w:r>
    </w:p>
    <w:tbl>
      <w:tblPr>
        <w:tblStyle w:val="Table"/>
        <w:tblW w:type="pct" w:w="5000"/>
        <w:tblLayout w:type="fixed"/>
        <w:tblLook w:firstRow="0" w:lastRow="0" w:firstColumn="0" w:lastColumn="0" w:noHBand="0" w:noVBand="0" w:val="0000"/>
      </w:tblPr>
      <w:tblGrid>
        <w:gridCol w:w="7920"/>
      </w:tblGrid>
      <w:tr>
        <w:tc>
          <w:tcPr/>
          <w:bookmarkStart w:id="42" w:name="fig-class5"/>
          <w:p>
            <w:pPr>
              <w:jc w:val="center"/>
            </w:pPr>
            <w:pPr>
              <w:jc w:val="start"/>
              <w:spacing w:before="200"/>
              <w:pStyle w:val="ImageCaption"/>
            </w:pPr>
            <w:r>
              <w:t xml:space="preserve">Figure 3: Scatter plot for</w:t>
            </w:r>
            <w:r>
              <w:t xml:space="preserve"> </w:t>
            </w:r>
            <w:r>
              <w:t xml:space="preserve">‘income differences’</w:t>
            </w:r>
            <w:r>
              <w:t xml:space="preserve"> </w:t>
            </w:r>
            <w:r>
              <w:t xml:space="preserve">by social class (5 groups)</w:t>
            </w:r>
          </w:p>
          <w:p>
            <w:pPr>
              <w:pStyle w:val="Compact"/>
              <w:jc w:val="center"/>
            </w:pPr>
            <w:r>
              <w:drawing>
                <wp:inline>
                  <wp:extent cx="4160520" cy="2080260"/>
                  <wp:effectExtent b="0" l="0" r="0" t="0"/>
                  <wp:docPr descr="" title="" id="40" name="Picture"/>
                  <a:graphic>
                    <a:graphicData uri="http://schemas.openxmlformats.org/drawingml/2006/picture">
                      <pic:pic>
                        <pic:nvPicPr>
                          <pic:cNvPr descr="_assets/img/fig_class5.png" id="41" name="Picture"/>
                          <pic:cNvPicPr>
                            <a:picLocks noChangeArrowheads="1" noChangeAspect="1"/>
                          </pic:cNvPicPr>
                        </pic:nvPicPr>
                        <pic:blipFill>
                          <a:blip r:embed="rId39"/>
                          <a:stretch>
                            <a:fillRect/>
                          </a:stretch>
                        </pic:blipFill>
                        <pic:spPr bwMode="auto">
                          <a:xfrm>
                            <a:off x="0" y="0"/>
                            <a:ext cx="4160520" cy="2080260"/>
                          </a:xfrm>
                          <a:prstGeom prst="rect">
                            <a:avLst/>
                          </a:prstGeom>
                          <a:noFill/>
                          <a:ln w="9525">
                            <a:noFill/>
                            <a:headEnd/>
                            <a:tailEnd/>
                          </a:ln>
                        </pic:spPr>
                      </pic:pic>
                    </a:graphicData>
                  </a:graphic>
                </wp:inline>
              </w:drawing>
            </w:r>
          </w:p>
          <w:bookmarkEnd w:id="42"/>
        </w:tc>
      </w:tr>
    </w:tbl>
    <w:bookmarkEnd w:id="43"/>
    <w:bookmarkStart w:id="48" w:name="multivariate-analysis"/>
    <w:p>
      <w:pPr>
        <w:pStyle w:val="Heading2"/>
      </w:pPr>
      <w:r>
        <w:t xml:space="preserve">2.3 Multivariate analysis</w:t>
      </w:r>
    </w:p>
    <w:p>
      <w:pPr>
        <w:pStyle w:val="FirstParagraph"/>
      </w:pPr>
      <w:r>
        <w:t xml:space="preserve">We created a multivariate regression model to assess the extent to which these individual factors are associated to support for income redistribution. We also included other variables in the model to control for subjective income (</w:t>
      </w:r>
      <w:r>
        <w:t xml:space="preserve">‘Sastisfaction with the household income’</w:t>
      </w:r>
      <w:r>
        <w:t xml:space="preserve">), economic activity (</w:t>
      </w:r>
      <w:r>
        <w:t xml:space="preserve">‘Main activity in the last seven days’</w:t>
      </w:r>
      <w:r>
        <w:t xml:space="preserve">), and political ideology (’Placement in the left-right scale).</w:t>
      </w:r>
    </w:p>
    <w:p>
      <w:pPr>
        <w:pStyle w:val="BodyText"/>
      </w:pPr>
      <w:hyperlink w:anchor="tbl-multiv-gincdif">
        <w:r>
          <w:rPr>
            <w:rStyle w:val="Hyperlink"/>
          </w:rPr>
          <w:t xml:space="preserve">Table 1</w:t>
        </w:r>
      </w:hyperlink>
      <w:r>
        <w:t xml:space="preserve"> </w:t>
      </w:r>
      <w:r>
        <w:t xml:space="preserve">below shows the coefficients of the OLS regression model. The overall explanatory power of the model is low (R² = 0.087), indicating that the small set of variables selected do not provide enough information to predict support accurately. However, the model identifies significant differences across groups.</w:t>
      </w:r>
    </w:p>
    <w:p>
      <w:pPr>
        <w:pStyle w:val="BodyText"/>
      </w:pPr>
      <w:r>
        <w:t xml:space="preserve">In terms of age, if we take the group of 25 to 34 as reference, all other age groups are expected to have lower support for redistribution. In addition, both the social class and subjective income suggest that respondents in more precarious economic situation tend to be more favourable of the government reducing income differences.</w:t>
      </w:r>
    </w:p>
    <w:tbl>
      <w:tblPr>
        <w:tblStyle w:val="Table"/>
        <w:tblW w:type="pct" w:w="5000"/>
        <w:tblLayout w:type="fixed"/>
        <w:tblLook w:firstRow="0" w:lastRow="0" w:firstColumn="0" w:lastColumn="0" w:noHBand="0" w:noVBand="0" w:val="0000"/>
      </w:tblPr>
      <w:tblGrid>
        <w:gridCol w:w="7920"/>
      </w:tblGrid>
      <w:tr>
        <w:tc>
          <w:tcPr/>
          <w:bookmarkStart w:id="47" w:name="tbl-multiv-gincdif"/>
          <w:p>
            <w:pPr>
              <w:jc w:val="center"/>
            </w:pPr>
            <w:pPr>
              <w:jc w:val="start"/>
              <w:spacing w:before="200"/>
              <w:pStyle w:val="ImageCaption"/>
            </w:pPr>
            <w:r>
              <w:t xml:space="preserve">Table 1: OLS regression coefficients for</w:t>
            </w:r>
            <w:r>
              <w:t xml:space="preserve"> </w:t>
            </w:r>
            <w:r>
              <w:t xml:space="preserve">‘income differences’</w:t>
            </w:r>
          </w:p>
          <w:p>
            <w:pPr>
              <w:jc w:val="center"/>
            </w:pPr>
            <w:r>
              <w:drawing>
                <wp:inline>
                  <wp:extent cx="4160520" cy="4006426"/>
                  <wp:effectExtent b="0" l="0" r="0" t="0"/>
                  <wp:docPr descr="" title="" id="45" name="Picture"/>
                  <a:graphic>
                    <a:graphicData uri="http://schemas.openxmlformats.org/drawingml/2006/picture">
                      <pic:pic>
                        <pic:nvPicPr>
                          <pic:cNvPr descr="_assets/img/tbl_multiv_gincdif.png" id="46" name="Picture"/>
                          <pic:cNvPicPr>
                            <a:picLocks noChangeArrowheads="1" noChangeAspect="1"/>
                          </pic:cNvPicPr>
                        </pic:nvPicPr>
                        <pic:blipFill>
                          <a:blip r:embed="rId44"/>
                          <a:stretch>
                            <a:fillRect/>
                          </a:stretch>
                        </pic:blipFill>
                        <pic:spPr bwMode="auto">
                          <a:xfrm>
                            <a:off x="0" y="0"/>
                            <a:ext cx="4160520" cy="4006426"/>
                          </a:xfrm>
                          <a:prstGeom prst="rect">
                            <a:avLst/>
                          </a:prstGeom>
                          <a:noFill/>
                          <a:ln w="9525">
                            <a:noFill/>
                            <a:headEnd/>
                            <a:tailEnd/>
                          </a:ln>
                        </pic:spPr>
                      </pic:pic>
                    </a:graphicData>
                  </a:graphic>
                </wp:inline>
              </w:drawing>
            </w:r>
          </w:p>
          <w:bookmarkEnd w:id="47"/>
        </w:tc>
      </w:tr>
    </w:tbl>
    <w:bookmarkEnd w:id="48"/>
    <w:bookmarkEnd w:id="49"/>
    <w:bookmarkStart w:id="73" w:name="sec-what"/>
    <w:p>
      <w:pPr>
        <w:pStyle w:val="Heading1"/>
      </w:pPr>
      <w:r>
        <w:t xml:space="preserve">3. What are the main attituddes towards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This module contains additional questions on beliefs about welfare, social benefits and their beneficiaries.</w:t>
      </w:r>
    </w:p>
    <w:bookmarkStart w:id="50" w:name="are-large-differences-acceptable"/>
    <w:p>
      <w:pPr>
        <w:pStyle w:val="Heading2"/>
      </w:pPr>
      <w:r>
        <w:t xml:space="preserve">3.1 Are large differences acceptable?</w:t>
      </w:r>
    </w:p>
    <w:p>
      <w:pPr>
        <w:pStyle w:val="FirstParagraph"/>
      </w:pPr>
      <w:r>
        <w:t xml:space="preserve">As discussed in the previous chapter, a few socio-demographic characteristics such as age and social class may influence people’s views on redistribution. In addition to that, other factors related to their view on fairness and meritocracy are also relevant to understand overall support to welfare policies.</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(58%) either</w:t>
      </w:r>
      <w:r>
        <w:t xml:space="preserve"> </w:t>
      </w:r>
      <w:r>
        <w:t xml:space="preserve">“agree”</w:t>
      </w:r>
      <w:r>
        <w:t xml:space="preserve"> </w:t>
      </w:r>
      <w:r>
        <w:t xml:space="preserve">or</w:t>
      </w:r>
      <w:r>
        <w:t xml:space="preserve"> </w:t>
      </w:r>
      <w:r>
        <w:t xml:space="preserve">“agree strongly”</w:t>
      </w:r>
      <w:r>
        <w:t xml:space="preserve"> </w:t>
      </w:r>
      <w:r>
        <w:t xml:space="preserve">with the statement. This is the third highest proportion across the 23 participant countries, behind Poland (60%) and Czechia (59%).</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50"/>
    <w:bookmarkStart w:id="56" w:name="who-deserves-welfare-policies"/>
    <w:p>
      <w:pPr>
        <w:pStyle w:val="Heading2"/>
      </w:pPr>
      <w:r>
        <w:t xml:space="preserve">3.2 Who deserves welfare policies?</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Oorschot and Roosma (</w:t>
      </w:r>
      <w:hyperlink w:anchor="ref-van_oorschot_social_2017">
        <w:r>
          <w:rPr>
            <w:rStyle w:val="Hyperlink"/>
          </w:rPr>
          <w:t xml:space="preserve">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 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On average, for all participating countries, respondents believe that the government should be more responsible for the old and working parents compared to the unemployed. In Ireland, the mean value is higher for ensuring</w:t>
      </w:r>
      <w:r>
        <w:t xml:space="preserve"> </w:t>
      </w:r>
      <w:r>
        <w:t xml:space="preserve">“a reasonable standard of living for the old”</w:t>
      </w:r>
      <w:r>
        <w:t xml:space="preserve"> </w:t>
      </w:r>
      <w:r>
        <w:t xml:space="preserve">(7.88), and</w:t>
      </w:r>
      <w:r>
        <w:t xml:space="preserve"> </w:t>
      </w:r>
      <w:r>
        <w:t xml:space="preserve">“child care services for working parents”</w:t>
      </w:r>
      <w:r>
        <w:t xml:space="preserve"> </w:t>
      </w:r>
      <w:r>
        <w:t xml:space="preserve">(7.11), compared to the unemployed (6.52).</w:t>
      </w:r>
    </w:p>
    <w:p>
      <w:pPr>
        <w:pStyle w:val="BodyText"/>
      </w:pPr>
      <w:r>
        <w:t xml:space="preserve">There are no significant differences across age, gender, or social class groups in support for the unemployed. However, respondents who are permanently sick, or unemployed or retired are predicted to be more in favour of the government ensuring support for the unemployed compared to respondents in different economic activity conditions (e.g. in paid work, in education).</w:t>
      </w:r>
    </w:p>
    <w:p>
      <w:pPr>
        <w:pStyle w:val="BodyText"/>
      </w:pPr>
      <w:r>
        <w:t xml:space="preserve">Another statistically significant difference is related to support for working parents. Female respondents and respondents who are struggling with their income are expected to be more in favour of this support compared to male respondents and those who are living comfortably on their present income.</w:t>
      </w:r>
    </w:p>
    <w:p>
      <w:pPr>
        <w:pStyle w:val="BodyText"/>
      </w:pPr>
      <w:r>
        <w:t xml:space="preserve">The postion in the political scales is also an associated factor common to all of these three variables. As shown in</w:t>
      </w:r>
      <w:r>
        <w:t xml:space="preserve"> </w:t>
      </w:r>
      <w:hyperlink w:anchor="fig-deserve">
        <w:r>
          <w:rPr>
            <w:rStyle w:val="Hyperlink"/>
          </w:rPr>
          <w:t xml:space="preserve">Figure 4</w:t>
        </w:r>
      </w:hyperlink>
      <w:r>
        <w:t xml:space="preserve">, the respondents who positioned themselves more to the left of the political scale tend to be more in favour of the government responsibility towards all these three groups.</w:t>
      </w:r>
    </w:p>
    <w:tbl>
      <w:tblPr>
        <w:tblStyle w:val="Table"/>
        <w:tblW w:type="pct" w:w="5000"/>
        <w:tblLayout w:type="fixed"/>
        <w:tblLook w:firstRow="0" w:lastRow="0" w:firstColumn="0" w:lastColumn="0" w:noHBand="0" w:noVBand="0" w:val="0000"/>
      </w:tblPr>
      <w:tblGrid>
        <w:gridCol w:w="7920"/>
      </w:tblGrid>
      <w:tr>
        <w:tc>
          <w:tcPr/>
          <w:bookmarkStart w:id="55" w:name="fig-deserve"/>
          <w:p>
            <w:pPr>
              <w:jc w:val="center"/>
            </w:pPr>
            <w:pPr>
              <w:jc w:val="start"/>
              <w:spacing w:before="200"/>
              <w:pStyle w:val="ImageCaption"/>
            </w:pPr>
            <w:r>
              <w:t xml:space="preserve">Figure 4</w:t>
            </w:r>
          </w:p>
          <w:p>
            <w:pPr>
              <w:pStyle w:val="Compact"/>
              <w:jc w:val="center"/>
            </w:pPr>
            <w:bookmarkStart w:id="54" w:name="fig-deserve"/>
            <w:r>
              <w:drawing>
                <wp:inline>
                  <wp:extent cx="3669065" cy="5503598"/>
                  <wp:effectExtent b="0" l="0" r="0" t="0"/>
                  <wp:docPr descr="" title="" id="52" name="Picture"/>
                  <a:graphic>
                    <a:graphicData uri="http://schemas.openxmlformats.org/drawingml/2006/picture">
                      <pic:pic>
                        <pic:nvPicPr>
                          <pic:cNvPr descr="_assets/img/fig_deserve.png" id="53" name="Picture"/>
                          <pic:cNvPicPr>
                            <a:picLocks noChangeArrowheads="1" noChangeAspect="1"/>
                          </pic:cNvPicPr>
                        </pic:nvPicPr>
                        <pic:blipFill>
                          <a:blip r:embed="rId51"/>
                          <a:stretch>
                            <a:fillRect/>
                          </a:stretch>
                        </pic:blipFill>
                        <pic:spPr bwMode="auto">
                          <a:xfrm>
                            <a:off x="0" y="0"/>
                            <a:ext cx="3669065" cy="5503598"/>
                          </a:xfrm>
                          <a:prstGeom prst="rect">
                            <a:avLst/>
                          </a:prstGeom>
                          <a:noFill/>
                          <a:ln w="9525">
                            <a:noFill/>
                            <a:headEnd/>
                            <a:tailEnd/>
                          </a:ln>
                        </pic:spPr>
                      </pic:pic>
                    </a:graphicData>
                  </a:graphic>
                </wp:inline>
              </w:drawing>
            </w:r>
            <w:bookmarkEnd w:id="54"/>
          </w:p>
          <w:bookmarkEnd w:id="55"/>
        </w:tc>
      </w:tr>
    </w:tbl>
    <w:bookmarkEnd w:id="56"/>
    <w:bookmarkStart w:id="59" w:name="who-approves-a-universal-basic-income"/>
    <w:p>
      <w:pPr>
        <w:pStyle w:val="Heading2"/>
      </w:pPr>
      <w:r>
        <w:t xml:space="preserve">3.3 Who approves a universal basic income?</w:t>
      </w:r>
    </w:p>
    <w:p>
      <w:pPr>
        <w:pStyle w:val="FirstParagraph"/>
      </w:pPr>
      <w:r>
        <w:t xml:space="preserve">In contrast to targeted policies, ESS respondents were also asked about their opinion on a universal basic income. Interviewers read the following card explaining the scheme: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Basic Income</w:t>
            </w:r>
          </w:p>
        </w:tc>
      </w:tr>
      <w:tr>
        <w:trPr>
          <w:cantSplit/>
        </w:trPr>
        <w:tc>
          <w:tcPr>
            <w:tcMar>
              <w:top w:w="108" w:type="dxa"/>
              <w:bottom w:w="108" w:type="dxa"/>
            </w:tcMar>
          </w:tcPr>
          <w:p>
            <w:pPr>
              <w:pStyle w:val="BodyText"/>
            </w:pPr>
            <w:pPr>
              <w:spacing w:before="16"/>
            </w:pPr>
            <w:r>
              <w:t xml:space="preserve">A basic income scheme includes all of the following: …READ OUT…</w:t>
            </w:r>
          </w:p>
          <w:p>
            <w:pPr>
              <w:pStyle w:val="BodyText"/>
            </w:pPr>
            <w:r>
              <w:t xml:space="preserve">The government pays everyone a monthly income to cover essential living costs.</w:t>
            </w:r>
          </w:p>
          <w:p>
            <w:pPr>
              <w:pStyle w:val="BodyText"/>
            </w:pPr>
            <w:r>
              <w:t xml:space="preserve">It replaces many other social benefits.</w:t>
            </w:r>
          </w:p>
          <w:p>
            <w:pPr>
              <w:pStyle w:val="BodyText"/>
            </w:pPr>
            <w:r>
              <w:t xml:space="preserve">The purpose is to guarantee everyone a minimum standard of living.</w:t>
            </w:r>
          </w:p>
          <w:p>
            <w:pPr>
              <w:pStyle w:val="BodyText"/>
            </w:pPr>
            <w:r>
              <w:t xml:space="preserve">Everyone receives the same amount regardless of whether or not they are working.</w:t>
            </w:r>
          </w:p>
          <w:p>
            <w:pPr>
              <w:pStyle w:val="BodyText"/>
            </w:pPr>
            <w:r>
              <w:t xml:space="preserve">People also keep the money they earn from work or other sources.</w:t>
            </w:r>
          </w:p>
          <w:p>
            <w:pPr>
              <w:pStyle w:val="BodyText"/>
            </w:pPr>
            <w:r>
              <w:t xml:space="preserve">This scheme is paid for by taxes.</w:t>
            </w:r>
          </w:p>
          <w:p>
            <w:pPr>
              <w:pStyle w:val="BodyText"/>
            </w:pPr>
            <w:r>
              <w:t xml:space="preserve">INTERVIEWER: PAUSE TO GIVE THE RESPONDENT TIME TO READ CARD.</w:t>
            </w:r>
          </w:p>
          <w:p>
            <w:pPr>
              <w:pStyle w:val="BodyText"/>
            </w:pPr>
            <w:pPr>
              <w:spacing w:after="16"/>
            </w:pPr>
            <w:r>
              <w:t xml:space="preserve">Overall, would you be against or in favour of having this scheme in Ireland?</w:t>
            </w:r>
          </w:p>
        </w:tc>
      </w:tr>
    </w:tbl>
    <w:p>
      <w:pPr>
        <w:pStyle w:val="BodyText"/>
      </w:pPr>
      <w:r>
        <w:t xml:space="preserve">Overall, across all ESS participating countries, 55% of the interviewers were either</w:t>
      </w:r>
      <w:r>
        <w:t xml:space="preserve"> </w:t>
      </w:r>
      <w:r>
        <w:t xml:space="preserve">‘In favour’</w:t>
      </w:r>
      <w:r>
        <w:t xml:space="preserve"> </w:t>
      </w:r>
      <w:r>
        <w:t xml:space="preserve">or</w:t>
      </w:r>
      <w:r>
        <w:t xml:space="preserve"> </w:t>
      </w:r>
      <w:r>
        <w:t xml:space="preserve">‘Strongly in favour’</w:t>
      </w:r>
      <w:r>
        <w:t xml:space="preserve"> </w:t>
      </w:r>
      <w:r>
        <w:t xml:space="preserve">of a basic income. In Ireland the proportion is similar, with 48% stating that they are</w:t>
      </w:r>
      <w:r>
        <w:t xml:space="preserve"> </w:t>
      </w:r>
      <w:r>
        <w:t xml:space="preserve">‘In favour’</w:t>
      </w:r>
      <w:r>
        <w:t xml:space="preserve"> </w:t>
      </w:r>
      <w:r>
        <w:t xml:space="preserve">and 10%</w:t>
      </w:r>
      <w:r>
        <w:t xml:space="preserve"> </w:t>
      </w:r>
      <w:r>
        <w:t xml:space="preserve">‘Strongly in favour’</w:t>
      </w:r>
      <w:r>
        <w:t xml:space="preserve">.</w:t>
      </w:r>
    </w:p>
    <w:p>
      <w:pPr>
        <w:pStyle w:val="BodyText"/>
      </w:pPr>
      <w:r>
        <w:t xml:space="preserve">This support in Ireland is highly correlated with age, gender and support for income redistribution. Younger and female residents as well as those who believe that the government should reduce differences in income are more in favour of a basic income scheme.</w:t>
      </w:r>
    </w:p>
    <w:bookmarkEnd w:id="59"/>
    <w:bookmarkStart w:id="72" w:name="Xe77ea720e1a0b2a8178ec27b1bd819cde6141ef"/>
    <w:p>
      <w:pPr>
        <w:pStyle w:val="Heading2"/>
      </w:pPr>
      <w:r>
        <w:t xml:space="preserve">3.4 What are the consequences of social benefits?</w:t>
      </w:r>
    </w:p>
    <w:p>
      <w:pPr>
        <w:pStyle w:val="FirstParagraph"/>
      </w:pPr>
      <w:r>
        <w:t xml:space="preserve">Part of the support for welfare policies can be explained by citizen’s expectations of their potential consequences. In this sense, the ESS module also asked residents to what extent they agree that social benefits and services in Ireland have the following consequences:</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r>
        <w:t xml:space="preserve">“…place too great strain on economy”</w:t>
      </w:r>
    </w:p>
    <w:tbl>
      <w:tblPr>
        <w:tblStyle w:val="Table"/>
        <w:tblW w:type="pct" w:w="5000"/>
        <w:tblLayout w:type="fixed"/>
        <w:tblLook w:firstRow="0" w:lastRow="0" w:firstColumn="0" w:lastColumn="0" w:noHBand="0" w:noVBand="0" w:val="0000"/>
      </w:tblPr>
      <w:tblGrid>
        <w:gridCol w:w="7920"/>
      </w:tblGrid>
      <w:tr>
        <w:tc>
          <w:tcPr/>
          <w:bookmarkStart w:id="63" w:name="fig-benefits"/>
          <w:p>
            <w:pPr>
              <w:jc w:val="center"/>
            </w:pPr>
            <w:pPr>
              <w:jc w:val="start"/>
              <w:spacing w:before="200"/>
              <w:pStyle w:val="ImageCaption"/>
            </w:pPr>
            <w:r>
              <w:t xml:space="preserve">Figure 5: Mean values for beliefs in relation to social benefits by round</w:t>
            </w:r>
          </w:p>
          <w:p>
            <w:pPr>
              <w:pStyle w:val="Compact"/>
              <w:jc w:val="center"/>
            </w:pPr>
            <w:r>
              <w:drawing>
                <wp:inline>
                  <wp:extent cx="4160520" cy="2773680"/>
                  <wp:effectExtent b="0" l="0" r="0" t="0"/>
                  <wp:docPr descr="" title="" id="61" name="Picture"/>
                  <a:graphic>
                    <a:graphicData uri="http://schemas.openxmlformats.org/drawingml/2006/picture">
                      <pic:pic>
                        <pic:nvPicPr>
                          <pic:cNvPr descr="_assets/img/fig_benefits.png" id="62" name="Picture"/>
                          <pic:cNvPicPr>
                            <a:picLocks noChangeArrowheads="1" noChangeAspect="1"/>
                          </pic:cNvPicPr>
                        </pic:nvPicPr>
                        <pic:blipFill>
                          <a:blip r:embed="rId60"/>
                          <a:stretch>
                            <a:fillRect/>
                          </a:stretch>
                        </pic:blipFill>
                        <pic:spPr bwMode="auto">
                          <a:xfrm>
                            <a:off x="0" y="0"/>
                            <a:ext cx="4160520" cy="2773680"/>
                          </a:xfrm>
                          <a:prstGeom prst="rect">
                            <a:avLst/>
                          </a:prstGeom>
                          <a:noFill/>
                          <a:ln w="9525">
                            <a:noFill/>
                            <a:headEnd/>
                            <a:tailEnd/>
                          </a:ln>
                        </pic:spPr>
                      </pic:pic>
                    </a:graphicData>
                  </a:graphic>
                </wp:inline>
              </w:drawing>
            </w:r>
          </w:p>
          <w:bookmarkEnd w:id="63"/>
        </w:tc>
      </w:tr>
    </w:tbl>
    <w:p>
      <w:pPr>
        <w:pStyle w:val="BodyText"/>
      </w:pPr>
      <w:r>
        <w:t xml:space="preserve">As seen in</w:t>
      </w:r>
      <w:r>
        <w:t xml:space="preserve"> </w:t>
      </w:r>
      <w:hyperlink w:anchor="fig-benefits">
        <w:r>
          <w:rPr>
            <w:rStyle w:val="Hyperlink"/>
          </w:rPr>
          <w:t xml:space="preserve">Figure 5</w:t>
        </w:r>
      </w:hyperlink>
      <w:r>
        <w:t xml:space="preserve">, the belief that social benefits and services</w:t>
      </w:r>
      <w:r>
        <w:t xml:space="preserve"> </w:t>
      </w:r>
      <w:r>
        <w:rPr>
          <w:i/>
          <w:iCs/>
        </w:rPr>
        <w:t xml:space="preserve">make people lazy</w:t>
      </w:r>
      <w:r>
        <w:t xml:space="preserve"> </w:t>
      </w:r>
      <w:r>
        <w:t xml:space="preserve">is substantially higher compared to other negative consequences such as the economic impact. In fact, Ireland has the third highest average agreement with this belief across all participant countries, as shown in</w:t>
      </w:r>
      <w:r>
        <w:t xml:space="preserve"> </w:t>
      </w:r>
      <w:hyperlink w:anchor="fig-lazymap">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lazymap"/>
          <w:p>
            <w:pPr>
              <w:jc w:val="center"/>
            </w:pPr>
            <w:pPr>
              <w:jc w:val="start"/>
              <w:spacing w:before="200"/>
              <w:pStyle w:val="ImageCaption"/>
            </w:pPr>
            <w:r>
              <w:t xml:space="preserve">Figure 6: Mean value of agreement for</w:t>
            </w:r>
            <w:r>
              <w:t xml:space="preserve"> </w:t>
            </w:r>
            <w:r>
              <w:t xml:space="preserve">‘Social benefits and services make people lazy’</w:t>
            </w:r>
            <w:r>
              <w:t xml:space="preserve">, Europe, 2016</w:t>
            </w:r>
          </w:p>
          <w:p>
            <w:pPr>
              <w:pStyle w:val="Compact"/>
              <w:jc w:val="center"/>
            </w:pPr>
            <w:r>
              <w:drawing>
                <wp:inline>
                  <wp:extent cx="4160520" cy="3328415"/>
                  <wp:effectExtent b="0" l="0" r="0" t="0"/>
                  <wp:docPr descr="" title="" id="65" name="Picture"/>
                  <a:graphic>
                    <a:graphicData uri="http://schemas.openxmlformats.org/drawingml/2006/picture">
                      <pic:pic>
                        <pic:nvPicPr>
                          <pic:cNvPr descr="_assets/img/fig_lazymap.png" id="66" name="Picture"/>
                          <pic:cNvPicPr>
                            <a:picLocks noChangeArrowheads="1" noChangeAspect="1"/>
                          </pic:cNvPicPr>
                        </pic:nvPicPr>
                        <pic:blipFill>
                          <a:blip r:embed="rId64"/>
                          <a:stretch>
                            <a:fillRect/>
                          </a:stretch>
                        </pic:blipFill>
                        <pic:spPr bwMode="auto">
                          <a:xfrm>
                            <a:off x="0" y="0"/>
                            <a:ext cx="4160520" cy="3328415"/>
                          </a:xfrm>
                          <a:prstGeom prst="rect">
                            <a:avLst/>
                          </a:prstGeom>
                          <a:noFill/>
                          <a:ln w="9525">
                            <a:noFill/>
                            <a:headEnd/>
                            <a:tailEnd/>
                          </a:ln>
                        </pic:spPr>
                      </pic:pic>
                    </a:graphicData>
                  </a:graphic>
                </wp:inline>
              </w:drawing>
            </w:r>
          </w:p>
          <w:bookmarkEnd w:id="67"/>
        </w:tc>
      </w:tr>
    </w:tbl>
    <w:p>
      <w:pPr>
        <w:pStyle w:val="BodyText"/>
      </w:pPr>
      <w:r>
        <w:t xml:space="preserve">Source: European Social Survey</w:t>
      </w:r>
    </w:p>
    <w:p>
      <w:pPr>
        <w:pStyle w:val="BodyText"/>
      </w:pPr>
      <w:r>
        <w:t xml:space="preserve">A Principal Components Analysis indicate that these five variables can be reduced to the following two latent dimensions named arbitrarily:</w:t>
      </w:r>
    </w:p>
    <w:p>
      <w:pPr>
        <w:pStyle w:val="Compact"/>
        <w:numPr>
          <w:ilvl w:val="0"/>
          <w:numId w:val="1003"/>
        </w:numPr>
      </w:pPr>
      <w:r>
        <w:rPr>
          <w:b/>
          <w:bCs/>
        </w:rPr>
        <w:t xml:space="preserve">Protective</w:t>
      </w:r>
      <w:r>
        <w:t xml:space="preserve"> </w:t>
      </w:r>
      <w:r>
        <w:t xml:space="preserve">(PC1):</w:t>
      </w:r>
      <w:r>
        <w:t xml:space="preserve"> </w:t>
      </w:r>
      <w:r>
        <w:t xml:space="preserve">“Lead to equal society”</w:t>
      </w:r>
      <w:r>
        <w:t xml:space="preserve"> </w:t>
      </w:r>
      <w:r>
        <w:t xml:space="preserve">and</w:t>
      </w:r>
      <w:r>
        <w:t xml:space="preserve"> </w:t>
      </w:r>
      <w:r>
        <w:t xml:space="preserve">“Prevent poverty”</w:t>
      </w:r>
      <w:r>
        <w:t xml:space="preserve">;</w:t>
      </w:r>
      <w:r>
        <w:br/>
      </w:r>
    </w:p>
    <w:p>
      <w:pPr>
        <w:pStyle w:val="Compact"/>
        <w:numPr>
          <w:ilvl w:val="0"/>
          <w:numId w:val="1003"/>
        </w:numPr>
      </w:pPr>
      <w:r>
        <w:rPr>
          <w:b/>
          <w:bCs/>
        </w:rPr>
        <w:t xml:space="preserve">Disincentive</w:t>
      </w:r>
      <w:r>
        <w:t xml:space="preserve"> </w:t>
      </w:r>
      <w:r>
        <w:t xml:space="preserve">(PC2):</w:t>
      </w:r>
      <w:r>
        <w:t xml:space="preserve"> </w:t>
      </w:r>
      <w:r>
        <w:t xml:space="preserve">“Make people lazy”</w:t>
      </w:r>
      <w:r>
        <w:t xml:space="preserve"> </w:t>
      </w:r>
      <w:r>
        <w:t xml:space="preserve">and</w:t>
      </w:r>
      <w:r>
        <w:t xml:space="preserve"> </w:t>
      </w:r>
      <w:r>
        <w:t xml:space="preserve">“Make people less willing to care”</w:t>
      </w:r>
      <w:r>
        <w:t xml:space="preserve">, and</w:t>
      </w:r>
      <w:r>
        <w:t xml:space="preserve"> </w:t>
      </w:r>
      <w:r>
        <w:t xml:space="preserve">“Put strain on economy”</w:t>
      </w:r>
      <w:r>
        <w:t xml:space="preserve">.</w:t>
      </w:r>
    </w:p>
    <w:p>
      <w:pPr>
        <w:pStyle w:val="FirstParagraph"/>
      </w:pPr>
      <w:r>
        <w:t xml:space="preserve">The variables were aggregated within each dimension using the mean value of the non-missing answers. The</w:t>
      </w:r>
      <w:r>
        <w:t xml:space="preserve"> </w:t>
      </w:r>
      <w:hyperlink w:anchor="tbl-multiv-beliefs">
        <w:r>
          <w:rPr>
            <w:rStyle w:val="Hyperlink"/>
          </w:rPr>
          <w:t xml:space="preserve">Table 2</w:t>
        </w:r>
      </w:hyperlink>
      <w:r>
        <w:t xml:space="preserve"> </w:t>
      </w:r>
      <w:r>
        <w:t xml:space="preserve">below shows the coefficients of two OLS explanatory models for these two dimensions.</w:t>
      </w:r>
    </w:p>
    <w:p>
      <w:pPr>
        <w:pStyle w:val="BodyText"/>
      </w:pPr>
      <w:r>
        <w:t xml:space="preserve">The first model indicates that female respondents tend to provide a slightly lower score on the protective dimension of beliefs about social benefits. None of the other predictors included in the model are statistically significant.</w:t>
      </w:r>
    </w:p>
    <w:p>
      <w:pPr>
        <w:pStyle w:val="BodyText"/>
      </w:pPr>
      <w:r>
        <w:t xml:space="preserve">The second model suggests that the group of</w:t>
      </w:r>
      <w:r>
        <w:t xml:space="preserve"> </w:t>
      </w:r>
      <w:r>
        <w:t xml:space="preserve">“small business owners”</w:t>
      </w:r>
      <w:r>
        <w:t xml:space="preserve"> </w:t>
      </w:r>
      <w:r>
        <w:t xml:space="preserve">and</w:t>
      </w:r>
      <w:r>
        <w:t xml:space="preserve"> </w:t>
      </w:r>
      <w:r>
        <w:t xml:space="preserve">“skilled workers”</w:t>
      </w:r>
      <w:r>
        <w:t xml:space="preserve"> </w:t>
      </w:r>
      <w:r>
        <w:t xml:space="preserve">have higher scores compared to respondents of other social classes. In addition, respondents with worse self-reported financial situation tend to disagree more with beliefs related to disincentive dimension of social beliefs.</w:t>
      </w:r>
    </w:p>
    <w:tbl>
      <w:tblPr>
        <w:tblStyle w:val="Table"/>
        <w:tblW w:type="pct" w:w="5000"/>
        <w:tblLayout w:type="fixed"/>
        <w:tblLook w:firstRow="0" w:lastRow="0" w:firstColumn="0" w:lastColumn="0" w:noHBand="0" w:noVBand="0" w:val="0000"/>
      </w:tblPr>
      <w:tblGrid>
        <w:gridCol w:w="7920"/>
      </w:tblGrid>
      <w:tr>
        <w:tc>
          <w:tcPr/>
          <w:bookmarkStart w:id="71" w:name="tbl-multiv-beliefs"/>
          <w:p>
            <w:pPr>
              <w:jc w:val="center"/>
            </w:pPr>
            <w:pPr>
              <w:jc w:val="start"/>
              <w:spacing w:before="200"/>
              <w:pStyle w:val="ImageCaption"/>
            </w:pPr>
            <w:r>
              <w:t xml:space="preserve">Table 2: OLS regression coefficients for</w:t>
            </w:r>
            <w:r>
              <w:t xml:space="preserve"> </w:t>
            </w:r>
            <w:r>
              <w:t xml:space="preserve">‘beliefs about social benefits’</w:t>
            </w:r>
          </w:p>
          <w:p>
            <w:pPr>
              <w:jc w:val="center"/>
            </w:pPr>
            <w:r>
              <w:drawing>
                <wp:inline>
                  <wp:extent cx="4160520" cy="4454274"/>
                  <wp:effectExtent b="0" l="0" r="0" t="0"/>
                  <wp:docPr descr="" title="" id="69" name="Picture"/>
                  <a:graphic>
                    <a:graphicData uri="http://schemas.openxmlformats.org/drawingml/2006/picture">
                      <pic:pic>
                        <pic:nvPicPr>
                          <pic:cNvPr descr="_assets/img/tbl_multiv_beliefs.png" id="70" name="Picture"/>
                          <pic:cNvPicPr>
                            <a:picLocks noChangeArrowheads="1" noChangeAspect="1"/>
                          </pic:cNvPicPr>
                        </pic:nvPicPr>
                        <pic:blipFill>
                          <a:blip r:embed="rId68"/>
                          <a:stretch>
                            <a:fillRect/>
                          </a:stretch>
                        </pic:blipFill>
                        <pic:spPr bwMode="auto">
                          <a:xfrm>
                            <a:off x="0" y="0"/>
                            <a:ext cx="4160520" cy="4454274"/>
                          </a:xfrm>
                          <a:prstGeom prst="rect">
                            <a:avLst/>
                          </a:prstGeom>
                          <a:noFill/>
                          <a:ln w="9525">
                            <a:noFill/>
                            <a:headEnd/>
                            <a:tailEnd/>
                          </a:ln>
                        </pic:spPr>
                      </pic:pic>
                    </a:graphicData>
                  </a:graphic>
                </wp:inline>
              </w:drawing>
            </w:r>
          </w:p>
          <w:bookmarkEnd w:id="71"/>
        </w:tc>
      </w:tr>
    </w:tbl>
    <w:bookmarkEnd w:id="72"/>
    <w:bookmarkEnd w:id="73"/>
    <w:bookmarkStart w:id="93" w:name="sec-change"/>
    <w:p>
      <w:pPr>
        <w:pStyle w:val="Heading1"/>
      </w:pPr>
      <w:r>
        <w:t xml:space="preserve">4. Has the support changed over time?</w:t>
      </w:r>
    </w:p>
    <w:p>
      <w:pPr>
        <w:pStyle w:val="FirstParagraph"/>
      </w:pPr>
      <w:r>
        <w:t xml:space="preserve">However, the average support varies substantially over time. The</w:t>
      </w:r>
      <w:r>
        <w:t xml:space="preserve"> </w:t>
      </w:r>
      <w:hyperlink w:anchor="fig-ess-time">
        <w:r>
          <w:rPr>
            <w:rStyle w:val="Hyperlink"/>
          </w:rPr>
          <w:t xml:space="preserve">Figure 7</w:t>
        </w:r>
      </w:hyperlink>
      <w:r>
        <w:t xml:space="preserve"> </w:t>
      </w:r>
      <w:r>
        <w:t xml:space="preserve">below shows the mean values for</w:t>
      </w:r>
      <w:r>
        <w:t xml:space="preserve"> </w:t>
      </w:r>
      <w:r>
        <w:t xml:space="preserve">‘Government should reduce income differences’</w:t>
      </w:r>
      <w:r>
        <w:t xml:space="preserve"> </w:t>
      </w:r>
      <w:r>
        <w:t xml:space="preserve">by round. Overall there is a stable agreement (mean = 3.8). Rounds 5-7 (2010-2014) as well as 10-11(2022-2024) show a slightly higher agreement compared to other rounds and the European average.</w:t>
      </w:r>
    </w:p>
    <w:tbl>
      <w:tblPr>
        <w:tblStyle w:val="Table"/>
        <w:tblW w:type="pct" w:w="5000"/>
        <w:tblLayout w:type="fixed"/>
        <w:tblLook w:firstRow="0" w:lastRow="0" w:firstColumn="0" w:lastColumn="0" w:noHBand="0" w:noVBand="0" w:val="0000"/>
      </w:tblPr>
      <w:tblGrid>
        <w:gridCol w:w="7920"/>
      </w:tblGrid>
      <w:tr>
        <w:tc>
          <w:tcPr/>
          <w:bookmarkStart w:id="77" w:name="fig-ess-time"/>
          <w:p>
            <w:pPr>
              <w:jc w:val="center"/>
            </w:pPr>
            <w:pPr>
              <w:jc w:val="start"/>
              <w:spacing w:before="200"/>
              <w:pStyle w:val="ImageCaption"/>
            </w:pPr>
            <w:r>
              <w:t xml:space="preserve">Figure 7: Mean values for</w:t>
            </w:r>
            <w:r>
              <w:t xml:space="preserve"> </w:t>
            </w:r>
            <w:r>
              <w:t xml:space="preserve">‘Government should reduce income differences’</w:t>
            </w:r>
            <w:r>
              <w:t xml:space="preserve"> </w:t>
            </w:r>
            <w:r>
              <w:t xml:space="preserve">by round</w:t>
            </w:r>
          </w:p>
          <w:p>
            <w:pPr>
              <w:pStyle w:val="Compact"/>
              <w:jc w:val="center"/>
            </w:pPr>
            <w:r>
              <w:drawing>
                <wp:inline>
                  <wp:extent cx="4160520" cy="3328416"/>
                  <wp:effectExtent b="0" l="0" r="0" t="0"/>
                  <wp:docPr descr="" title="" id="75" name="Picture"/>
                  <a:graphic>
                    <a:graphicData uri="http://schemas.openxmlformats.org/drawingml/2006/picture">
                      <pic:pic>
                        <pic:nvPicPr>
                          <pic:cNvPr descr="report_files/figure-docx/fig-ess-time-1.png" id="76" name="Picture"/>
                          <pic:cNvPicPr>
                            <a:picLocks noChangeArrowheads="1" noChangeAspect="1"/>
                          </pic:cNvPicPr>
                        </pic:nvPicPr>
                        <pic:blipFill>
                          <a:blip r:embed="rId74"/>
                          <a:stretch>
                            <a:fillRect/>
                          </a:stretch>
                        </pic:blipFill>
                        <pic:spPr bwMode="auto">
                          <a:xfrm>
                            <a:off x="0" y="0"/>
                            <a:ext cx="4160520" cy="3328416"/>
                          </a:xfrm>
                          <a:prstGeom prst="rect">
                            <a:avLst/>
                          </a:prstGeom>
                          <a:noFill/>
                          <a:ln w="9525">
                            <a:noFill/>
                            <a:headEnd/>
                            <a:tailEnd/>
                          </a:ln>
                        </pic:spPr>
                      </pic:pic>
                    </a:graphicData>
                  </a:graphic>
                </wp:inline>
              </w:drawing>
            </w:r>
          </w:p>
          <w:bookmarkEnd w:id="77"/>
        </w:tc>
      </w:tr>
    </w:tbl>
    <w:p>
      <w:pPr>
        <w:pStyle w:val="BodyText"/>
      </w:pPr>
      <w:hyperlink w:anchor="fig-vs-time">
        <w:r>
          <w:rPr>
            <w:rStyle w:val="Hyperlink"/>
          </w:rPr>
          <w:t xml:space="preserve">Figure 8</w:t>
        </w:r>
      </w:hyperlink>
      <w:r>
        <w:t xml:space="preserve"> </w:t>
      </w:r>
      <w:r>
        <w:t xml:space="preserve">shows the density of responses for the scale on support for redistribution of wealth. The mean values are similar for 2014, 2019 and 2024. However, the distribution seems is less skewed in 2024 compared to 2014.</w:t>
      </w:r>
    </w:p>
    <w:tbl>
      <w:tblPr>
        <w:tblStyle w:val="Table"/>
        <w:tblW w:type="pct" w:w="5000"/>
        <w:tblLayout w:type="fixed"/>
        <w:tblLook w:firstRow="0" w:lastRow="0" w:firstColumn="0" w:lastColumn="0" w:noHBand="0" w:noVBand="0" w:val="0000"/>
      </w:tblPr>
      <w:tblGrid>
        <w:gridCol w:w="7920"/>
      </w:tblGrid>
      <w:tr>
        <w:tc>
          <w:tcPr/>
          <w:bookmarkStart w:id="81" w:name="fig-vs-time"/>
          <w:p>
            <w:pPr>
              <w:jc w:val="center"/>
            </w:pPr>
            <w:pPr>
              <w:jc w:val="start"/>
              <w:spacing w:before="200"/>
              <w:pStyle w:val="ImageCaption"/>
            </w:pPr>
            <w:r>
              <w:t xml:space="preserve">Figure 8: Density plot for</w:t>
            </w:r>
            <w:r>
              <w:t xml:space="preserve"> </w:t>
            </w:r>
            <w:r>
              <w:t xml:space="preserve">‘in favour of redistribution of wealth’</w:t>
            </w:r>
            <w:r>
              <w:t xml:space="preserve"> </w:t>
            </w:r>
            <w:r>
              <w:t xml:space="preserve">by survey year</w:t>
            </w:r>
          </w:p>
          <w:p>
            <w:pPr>
              <w:pStyle w:val="Compact"/>
              <w:jc w:val="center"/>
            </w:pPr>
            <w:r>
              <w:drawing>
                <wp:inline>
                  <wp:extent cx="4160520" cy="3328416"/>
                  <wp:effectExtent b="0" l="0" r="0" t="0"/>
                  <wp:docPr descr="" title="" id="79" name="Picture"/>
                  <a:graphic>
                    <a:graphicData uri="http://schemas.openxmlformats.org/drawingml/2006/picture">
                      <pic:pic>
                        <pic:nvPicPr>
                          <pic:cNvPr descr="report_files/figure-docx/fig-vs-time-1.png" id="80" name="Picture"/>
                          <pic:cNvPicPr>
                            <a:picLocks noChangeArrowheads="1" noChangeAspect="1"/>
                          </pic:cNvPicPr>
                        </pic:nvPicPr>
                        <pic:blipFill>
                          <a:blip r:embed="rId78"/>
                          <a:stretch>
                            <a:fillRect/>
                          </a:stretch>
                        </pic:blipFill>
                        <pic:spPr bwMode="auto">
                          <a:xfrm>
                            <a:off x="0" y="0"/>
                            <a:ext cx="4160520" cy="3328416"/>
                          </a:xfrm>
                          <a:prstGeom prst="rect">
                            <a:avLst/>
                          </a:prstGeom>
                          <a:noFill/>
                          <a:ln w="9525">
                            <a:noFill/>
                            <a:headEnd/>
                            <a:tailEnd/>
                          </a:ln>
                        </pic:spPr>
                      </pic:pic>
                    </a:graphicData>
                  </a:graphic>
                </wp:inline>
              </w:drawing>
            </w:r>
          </w:p>
          <w:bookmarkEnd w:id="81"/>
        </w:tc>
      </w:tr>
    </w:tbl>
    <w:bookmarkStart w:id="92" w:name="age"/>
    <w:p>
      <w:pPr>
        <w:pStyle w:val="Heading2"/>
      </w:pPr>
      <w:r>
        <w:t xml:space="preserve">4.1 Age</w:t>
      </w:r>
    </w:p>
    <w:p>
      <w:pPr>
        <w:pStyle w:val="FirstParagraph"/>
      </w:pPr>
      <w:r>
        <w:t xml:space="preserve">The relationship between age and the response variable seems to change across rounds. As shown in</w:t>
      </w:r>
      <w:r>
        <w:t xml:space="preserve"> </w:t>
      </w:r>
      <w:hyperlink w:anchor="fig-time-age">
        <w:r>
          <w:rPr>
            <w:rStyle w:val="Hyperlink"/>
          </w:rPr>
          <w:t xml:space="preserve">Figure 9</w:t>
        </w:r>
      </w:hyperlink>
      <w:r>
        <w:t xml:space="preserve">, early rounds suggest that older respondents support more the government reducing income differences, whereas the latest round (11) and round 8 seem to indicate the opposite.</w:t>
      </w:r>
    </w:p>
    <w:bookmarkStart w:id="86" w:name="ess"/>
    <w:p>
      <w:pPr>
        <w:pStyle w:val="Heading3"/>
      </w:pPr>
      <w:r>
        <w:t xml:space="preserve">4.1.1 ESS</w:t>
      </w:r>
    </w:p>
    <w:tbl>
      <w:tblPr>
        <w:tblStyle w:val="Table"/>
        <w:tblW w:type="pct" w:w="5000"/>
        <w:tblLayout w:type="fixed"/>
        <w:tblLook w:firstRow="0" w:lastRow="0" w:firstColumn="0" w:lastColumn="0" w:noHBand="0" w:noVBand="0" w:val="0000"/>
      </w:tblPr>
      <w:tblGrid>
        <w:gridCol w:w="7920"/>
      </w:tblGrid>
      <w:tr>
        <w:tc>
          <w:tcPr/>
          <w:bookmarkStart w:id="85" w:name="fig-time-age"/>
          <w:p>
            <w:pPr>
              <w:jc w:val="center"/>
            </w:pPr>
            <w:pPr>
              <w:jc w:val="start"/>
              <w:spacing w:before="200"/>
              <w:pStyle w:val="ImageCaption"/>
            </w:pPr>
            <w:r>
              <w:t xml:space="preserve">Figure 9: Scatter plot for</w:t>
            </w:r>
            <w:r>
              <w:t xml:space="preserve"> </w:t>
            </w:r>
            <w:r>
              <w:t xml:space="preserve">‘Government should reduce income differences’</w:t>
            </w:r>
            <w:r>
              <w:t xml:space="preserve"> </w:t>
            </w:r>
            <w:r>
              <w:t xml:space="preserve">by age and round</w:t>
            </w:r>
          </w:p>
          <w:p>
            <w:pPr>
              <w:pStyle w:val="Compact"/>
              <w:jc w:val="center"/>
            </w:pPr>
            <w:r>
              <w:drawing>
                <wp:inline>
                  <wp:extent cx="4160520" cy="3566160"/>
                  <wp:effectExtent b="0" l="0" r="0" t="0"/>
                  <wp:docPr descr="" title="" id="83" name="Picture"/>
                  <a:graphic>
                    <a:graphicData uri="http://schemas.openxmlformats.org/drawingml/2006/picture">
                      <pic:pic>
                        <pic:nvPicPr>
                          <pic:cNvPr descr="_assets/img/fig_ess_age.png" id="84" name="Picture"/>
                          <pic:cNvPicPr>
                            <a:picLocks noChangeArrowheads="1" noChangeAspect="1"/>
                          </pic:cNvPicPr>
                        </pic:nvPicPr>
                        <pic:blipFill>
                          <a:blip r:embed="rId82"/>
                          <a:stretch>
                            <a:fillRect/>
                          </a:stretch>
                        </pic:blipFill>
                        <pic:spPr bwMode="auto">
                          <a:xfrm>
                            <a:off x="0" y="0"/>
                            <a:ext cx="4160520" cy="3566160"/>
                          </a:xfrm>
                          <a:prstGeom prst="rect">
                            <a:avLst/>
                          </a:prstGeom>
                          <a:noFill/>
                          <a:ln w="9525">
                            <a:noFill/>
                            <a:headEnd/>
                            <a:tailEnd/>
                          </a:ln>
                        </pic:spPr>
                      </pic:pic>
                    </a:graphicData>
                  </a:graphic>
                </wp:inline>
              </w:drawing>
            </w:r>
          </w:p>
          <w:bookmarkEnd w:id="85"/>
        </w:tc>
      </w:tr>
    </w:tbl>
    <w:bookmarkEnd w:id="86"/>
    <w:bookmarkStart w:id="91" w:name="ess-1"/>
    <w:p>
      <w:pPr>
        <w:pStyle w:val="Heading3"/>
      </w:pPr>
      <w:r>
        <w:t xml:space="preserve">4.1.2 ESS</w:t>
      </w:r>
    </w:p>
    <w:tbl>
      <w:tblPr>
        <w:tblStyle w:val="Table"/>
        <w:tblW w:type="pct" w:w="5000"/>
        <w:tblLayout w:type="fixed"/>
        <w:tblLook w:firstRow="0" w:lastRow="0" w:firstColumn="0" w:lastColumn="0" w:noHBand="0" w:noVBand="0" w:val="0000"/>
      </w:tblPr>
      <w:tblGrid>
        <w:gridCol w:w="7920"/>
      </w:tblGrid>
      <w:tr>
        <w:tc>
          <w:tcPr/>
          <w:bookmarkStart w:id="90" w:name="fig-ess-cohort"/>
          <w:p>
            <w:pPr>
              <w:jc w:val="center"/>
            </w:pPr>
            <w:pPr>
              <w:jc w:val="start"/>
              <w:spacing w:before="200"/>
              <w:pStyle w:val="ImageCaption"/>
            </w:pPr>
            <w:r>
              <w:t xml:space="preserve">Figure 10: Mean values for</w:t>
            </w:r>
            <w:r>
              <w:t xml:space="preserve"> </w:t>
            </w:r>
            <w:r>
              <w:t xml:space="preserve">‘Government should reduce income differences’</w:t>
            </w:r>
            <w:r>
              <w:t xml:space="preserve"> </w:t>
            </w:r>
            <w:r>
              <w:t xml:space="preserve">by false cohort and round</w:t>
            </w:r>
          </w:p>
          <w:p>
            <w:pPr>
              <w:pStyle w:val="Compact"/>
              <w:jc w:val="center"/>
            </w:pPr>
            <w:r>
              <w:drawing>
                <wp:inline>
                  <wp:extent cx="4160520" cy="3328416"/>
                  <wp:effectExtent b="0" l="0" r="0" t="0"/>
                  <wp:docPr descr="" title="" id="88" name="Picture"/>
                  <a:graphic>
                    <a:graphicData uri="http://schemas.openxmlformats.org/drawingml/2006/picture">
                      <pic:pic>
                        <pic:nvPicPr>
                          <pic:cNvPr descr="report_files/figure-docx/fig-ess-cohort-1.png" id="89" name="Picture"/>
                          <pic:cNvPicPr>
                            <a:picLocks noChangeArrowheads="1" noChangeAspect="1"/>
                          </pic:cNvPicPr>
                        </pic:nvPicPr>
                        <pic:blipFill>
                          <a:blip r:embed="rId87"/>
                          <a:stretch>
                            <a:fillRect/>
                          </a:stretch>
                        </pic:blipFill>
                        <pic:spPr bwMode="auto">
                          <a:xfrm>
                            <a:off x="0" y="0"/>
                            <a:ext cx="4160520" cy="3328416"/>
                          </a:xfrm>
                          <a:prstGeom prst="rect">
                            <a:avLst/>
                          </a:prstGeom>
                          <a:noFill/>
                          <a:ln w="9525">
                            <a:noFill/>
                            <a:headEnd/>
                            <a:tailEnd/>
                          </a:ln>
                        </pic:spPr>
                      </pic:pic>
                    </a:graphicData>
                  </a:graphic>
                </wp:inline>
              </w:drawing>
            </w:r>
          </w:p>
          <w:bookmarkEnd w:id="90"/>
        </w:tc>
      </w:tr>
    </w:tbl>
    <w:bookmarkEnd w:id="91"/>
    <w:bookmarkEnd w:id="92"/>
    <w:bookmarkEnd w:id="93"/>
    <w:bookmarkStart w:id="105" w:name="economic-crisis-and-covid19"/>
    <w:p>
      <w:pPr>
        <w:pStyle w:val="Heading1"/>
      </w:pPr>
      <w:r>
        <w:t xml:space="preserve">5. Economic crisis and Covid19</w:t>
      </w:r>
    </w:p>
    <w:p>
      <w:pPr>
        <w:pStyle w:val="FirstParagraph"/>
      </w:pPr>
      <w:r>
        <w:t xml:space="preserve">As shown in</w:t>
      </w:r>
      <w:r>
        <w:t xml:space="preserve"> </w:t>
      </w:r>
      <w:r>
        <w:rPr>
          <w:b/>
          <w:bCs/>
        </w:rPr>
        <w:t xml:space="preserve">?@fig-time-ess</w:t>
      </w:r>
      <w:r>
        <w:t xml:space="preserve">, the ESS data indicates a slightly higher average support for redistribution after the 2008 economic crisis and after the 2022 Covid19 pandemic. Evidence from a survey experiment in the USA show that participants are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In this section we explore further the potential impact of the pandemic on support for redistribution.</w:t>
      </w:r>
    </w:p>
    <w:bookmarkStart w:id="102" w:name="time-series"/>
    <w:p>
      <w:pPr>
        <w:pStyle w:val="Heading2"/>
      </w:pPr>
      <w:r>
        <w:t xml:space="preserve">5.1 Time series</w:t>
      </w:r>
    </w:p>
    <w:p>
      <w:pPr>
        <w:pStyle w:val="FirstParagraph"/>
      </w:pPr>
      <w:hyperlink w:anchor="tbl-multiv-gincdif">
        <w:r>
          <w:rPr>
            <w:rStyle w:val="Hyperlink"/>
          </w:rPr>
          <w:t xml:space="preserve">Table 1</w:t>
        </w:r>
      </w:hyperlink>
      <w:r>
        <w:t xml:space="preserve"> </w:t>
      </w:r>
      <w:r>
        <w:t xml:space="preserve">suggests that both social class and feeling about household income are significant predictors of support for redistribution.</w:t>
      </w:r>
      <w:r>
        <w:t xml:space="preserve"> </w:t>
      </w:r>
      <w:hyperlink w:anchor="fig-time-hincfel">
        <w:r>
          <w:rPr>
            <w:rStyle w:val="Hyperlink"/>
          </w:rPr>
          <w:t xml:space="preserve">Figure 11</w:t>
        </w:r>
      </w:hyperlink>
      <w:r>
        <w:t xml:space="preserve"> </w:t>
      </w:r>
      <w:r>
        <w:t xml:space="preserve">shows that the difference between subjective income groups remains stable over time, with all groups responding similar to 2008 crisis and the pandemic.</w:t>
      </w:r>
    </w:p>
    <w:tbl>
      <w:tblPr>
        <w:tblStyle w:val="Table"/>
        <w:tblW w:type="pct" w:w="5000"/>
        <w:tblLayout w:type="fixed"/>
        <w:tblLook w:firstRow="0" w:lastRow="0" w:firstColumn="0" w:lastColumn="0" w:noHBand="0" w:noVBand="0" w:val="0000"/>
      </w:tblPr>
      <w:tblGrid>
        <w:gridCol w:w="7920"/>
      </w:tblGrid>
      <w:tr>
        <w:tc>
          <w:tcPr/>
          <w:bookmarkStart w:id="97" w:name="fig-time-hincfel"/>
          <w:p>
            <w:pPr>
              <w:jc w:val="center"/>
            </w:pPr>
            <w:pPr>
              <w:jc w:val="start"/>
              <w:spacing w:before="200"/>
              <w:pStyle w:val="ImageCaption"/>
            </w:pPr>
            <w:r>
              <w:t xml:space="preserve">Figure 11: Average support for redistribution by financial situation (2002-2022)</w:t>
            </w:r>
          </w:p>
          <w:p>
            <w:pPr>
              <w:pStyle w:val="Compact"/>
              <w:jc w:val="center"/>
            </w:pPr>
            <w:r>
              <w:drawing>
                <wp:inline>
                  <wp:extent cx="4160520" cy="3328416"/>
                  <wp:effectExtent b="0" l="0" r="0" t="0"/>
                  <wp:docPr descr="" title="" id="95" name="Picture"/>
                  <a:graphic>
                    <a:graphicData uri="http://schemas.openxmlformats.org/drawingml/2006/picture">
                      <pic:pic>
                        <pic:nvPicPr>
                          <pic:cNvPr descr="report_files/figure-docx/fig-time-hincfel-1.png" id="96" name="Picture"/>
                          <pic:cNvPicPr>
                            <a:picLocks noChangeArrowheads="1" noChangeAspect="1"/>
                          </pic:cNvPicPr>
                        </pic:nvPicPr>
                        <pic:blipFill>
                          <a:blip r:embed="rId94"/>
                          <a:stretch>
                            <a:fillRect/>
                          </a:stretch>
                        </pic:blipFill>
                        <pic:spPr bwMode="auto">
                          <a:xfrm>
                            <a:off x="0" y="0"/>
                            <a:ext cx="4160520" cy="3328416"/>
                          </a:xfrm>
                          <a:prstGeom prst="rect">
                            <a:avLst/>
                          </a:prstGeom>
                          <a:noFill/>
                          <a:ln w="9525">
                            <a:noFill/>
                            <a:headEnd/>
                            <a:tailEnd/>
                          </a:ln>
                        </pic:spPr>
                      </pic:pic>
                    </a:graphicData>
                  </a:graphic>
                </wp:inline>
              </w:drawing>
            </w:r>
          </w:p>
          <w:bookmarkEnd w:id="97"/>
        </w:tc>
      </w:tr>
    </w:tbl>
    <w:p>
      <w:pPr>
        <w:pStyle w:val="BodyText"/>
      </w:pPr>
      <w:r>
        <w:t xml:space="preserve">Conversely, the</w:t>
      </w:r>
      <w:r>
        <w:t xml:space="preserve"> </w:t>
      </w:r>
      <w:hyperlink w:anchor="fig-time-class5">
        <w:r>
          <w:rPr>
            <w:rStyle w:val="Hyperlink"/>
          </w:rPr>
          <w:t xml:space="preserve">Figure 12</w:t>
        </w:r>
      </w:hyperlink>
      <w:r>
        <w:t xml:space="preserve"> </w:t>
      </w:r>
      <w:r>
        <w:t xml:space="preserve">suggests that there is a slightly different pattern in response to the pandemic. There is a trajectory of increasing support for redistribution across skilled and unskilled workers since round 8 (2016). However, for lower-grade service class and small business owners, there seems to be a break in this trajectory captured in the latest wave.</w:t>
      </w:r>
    </w:p>
    <w:tbl>
      <w:tblPr>
        <w:tblStyle w:val="Table"/>
        <w:tblW w:type="pct" w:w="5000"/>
        <w:tblLayout w:type="fixed"/>
        <w:tblLook w:firstRow="0" w:lastRow="0" w:firstColumn="0" w:lastColumn="0" w:noHBand="0" w:noVBand="0" w:val="0000"/>
      </w:tblPr>
      <w:tblGrid>
        <w:gridCol w:w="7920"/>
      </w:tblGrid>
      <w:tr>
        <w:tc>
          <w:tcPr/>
          <w:bookmarkStart w:id="101" w:name="fig-time-class5"/>
          <w:p>
            <w:pPr>
              <w:jc w:val="center"/>
            </w:pPr>
            <w:pPr>
              <w:jc w:val="start"/>
              <w:spacing w:before="200"/>
              <w:pStyle w:val="ImageCaption"/>
            </w:pPr>
            <w:r>
              <w:t xml:space="preserve">Figure 12: Average support for redistribution by social class (2002-2022)</w:t>
            </w:r>
          </w:p>
          <w:p>
            <w:pPr>
              <w:pStyle w:val="Compact"/>
              <w:jc w:val="center"/>
            </w:pPr>
            <w:r>
              <w:drawing>
                <wp:inline>
                  <wp:extent cx="4160520" cy="3328416"/>
                  <wp:effectExtent b="0" l="0" r="0" t="0"/>
                  <wp:docPr descr="" title="" id="99" name="Picture"/>
                  <a:graphic>
                    <a:graphicData uri="http://schemas.openxmlformats.org/drawingml/2006/picture">
                      <pic:pic>
                        <pic:nvPicPr>
                          <pic:cNvPr descr="report_files/figure-docx/fig-time-class5-1.png" id="100" name="Picture"/>
                          <pic:cNvPicPr>
                            <a:picLocks noChangeArrowheads="1" noChangeAspect="1"/>
                          </pic:cNvPicPr>
                        </pic:nvPicPr>
                        <pic:blipFill>
                          <a:blip r:embed="rId98"/>
                          <a:stretch>
                            <a:fillRect/>
                          </a:stretch>
                        </pic:blipFill>
                        <pic:spPr bwMode="auto">
                          <a:xfrm>
                            <a:off x="0" y="0"/>
                            <a:ext cx="4160520" cy="3328416"/>
                          </a:xfrm>
                          <a:prstGeom prst="rect">
                            <a:avLst/>
                          </a:prstGeom>
                          <a:noFill/>
                          <a:ln w="9525">
                            <a:noFill/>
                            <a:headEnd/>
                            <a:tailEnd/>
                          </a:ln>
                        </pic:spPr>
                      </pic:pic>
                    </a:graphicData>
                  </a:graphic>
                </wp:inline>
              </w:drawing>
            </w:r>
          </w:p>
          <w:bookmarkEnd w:id="101"/>
        </w:tc>
      </w:tr>
    </w:tbl>
    <w:bookmarkEnd w:id="102"/>
    <w:bookmarkStart w:id="103" w:name="job-loss"/>
    <w:p>
      <w:pPr>
        <w:pStyle w:val="Heading2"/>
      </w:pPr>
      <w:r>
        <w:t xml:space="preserve">5.2 Job loss</w:t>
      </w:r>
    </w:p>
    <w:p>
      <w:pPr>
        <w:pStyle w:val="FirstParagraph"/>
      </w:pPr>
      <w:r>
        <w:t xml:space="preserve">The average level of agreement remains similar comparing 2008 and 2016. The only exception is the average for</w:t>
      </w:r>
      <w:r>
        <w:t xml:space="preserve"> </w:t>
      </w:r>
      <w:r>
        <w:t xml:space="preserve">“social benefits place too great strain on economy”</w:t>
      </w:r>
      <w:r>
        <w:t xml:space="preserve">, which oberved a significant reduction in the level of agreement, as shown in</w:t>
      </w:r>
      <w:r>
        <w:t xml:space="preserve"> </w:t>
      </w:r>
      <w:r>
        <w:rPr>
          <w:b/>
          <w:bCs/>
        </w:rPr>
        <w:t xml:space="preserve">?@fig-time-benefits</w:t>
      </w:r>
      <w:r>
        <w:t xml:space="preserve">.</w:t>
      </w:r>
    </w:p>
    <w:bookmarkEnd w:id="103"/>
    <w:bookmarkStart w:id="104" w:name="multivariate-analysis-1"/>
    <w:p>
      <w:pPr>
        <w:pStyle w:val="Heading2"/>
      </w:pPr>
      <w:r>
        <w:t xml:space="preserve">5.3 Multivariate analysis</w:t>
      </w:r>
    </w:p>
    <w:p>
      <w:pPr>
        <w:pStyle w:val="FirstParagraph"/>
      </w:pPr>
      <w:r>
        <w:t xml:space="preserve">We created a multivariate regression model to assess the extent to which these individual factors are associated support for government reducing differences in income levels in Ireland. In order to The</w:t>
      </w:r>
      <w:r>
        <w:t xml:space="preserve"> </w:t>
      </w:r>
      <w:hyperlink w:anchor="tbl-multiv-gincdif">
        <w:r>
          <w:rPr>
            <w:rStyle w:val="Hyperlink"/>
          </w:rPr>
          <w:t xml:space="preserve">Table 1</w:t>
        </w:r>
      </w:hyperlink>
      <w:r>
        <w:t xml:space="preserve"> </w:t>
      </w:r>
      <w:r>
        <w:t xml:space="preserve">below shows the coefficients of the OLS regression model. The overall explanatory power of the model is low, indicating that the small set of variables selected do not provide enough information to predict support appropriately. The effect of age seems to be neglectable. Both the social class and subjective income suggest that respondents in more precarious economic situation tend to be more favourable of the government reducing income differences.</w:t>
      </w:r>
    </w:p>
    <w:bookmarkEnd w:id="104"/>
    <w:bookmarkEnd w:id="105"/>
    <w:bookmarkStart w:id="137" w:name="references"/>
    <w:p>
      <w:pPr>
        <w:pStyle w:val="Heading1"/>
      </w:pPr>
      <w:r>
        <w:t xml:space="preserve">References</w:t>
      </w:r>
    </w:p>
    <w:bookmarkStart w:id="136" w:name="refs"/>
    <w:bookmarkStart w:id="107"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06">
        <w:r>
          <w:rPr>
            <w:rStyle w:val="Hyperlink"/>
          </w:rPr>
          <w:t xml:space="preserve">https://doi.org/10.1177/09589287241290742</w:t>
        </w:r>
      </w:hyperlink>
      <w:r>
        <w:t xml:space="preserve">.</w:t>
      </w:r>
    </w:p>
    <w:bookmarkEnd w:id="107"/>
    <w:bookmarkStart w:id="109"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08">
        <w:r>
          <w:rPr>
            <w:rStyle w:val="Hyperlink"/>
          </w:rPr>
          <w:t xml:space="preserve">https://doi.org/10.1016/j.jebo.2021.03.017</w:t>
        </w:r>
      </w:hyperlink>
      <w:r>
        <w:t xml:space="preserve">.</w:t>
      </w:r>
    </w:p>
    <w:bookmarkEnd w:id="109"/>
    <w:bookmarkStart w:id="111"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10">
        <w:r>
          <w:rPr>
            <w:rStyle w:val="Hyperlink"/>
          </w:rPr>
          <w:t xml:space="preserve">https://doi.org/10.1177/09589287211066469</w:t>
        </w:r>
      </w:hyperlink>
      <w:r>
        <w:t xml:space="preserve">.</w:t>
      </w:r>
    </w:p>
    <w:bookmarkEnd w:id="111"/>
    <w:bookmarkStart w:id="113"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112">
        <w:r>
          <w:rPr>
            <w:rStyle w:val="Hyperlink"/>
          </w:rPr>
          <w:t xml:space="preserve">https://doi.org/10.1111/j.1467-9477.2008.00211.x</w:t>
        </w:r>
      </w:hyperlink>
      <w:r>
        <w:t xml:space="preserve">.</w:t>
      </w:r>
    </w:p>
    <w:bookmarkEnd w:id="113"/>
    <w:bookmarkStart w:id="115"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114">
        <w:r>
          <w:rPr>
            <w:rStyle w:val="Hyperlink"/>
          </w:rPr>
          <w:t xml:space="preserve">https://doi.org/10.1177/0958928720978012</w:t>
        </w:r>
      </w:hyperlink>
      <w:r>
        <w:t xml:space="preserve">.</w:t>
      </w:r>
    </w:p>
    <w:bookmarkEnd w:id="115"/>
    <w:bookmarkStart w:id="117"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16">
        <w:r>
          <w:rPr>
            <w:rStyle w:val="Hyperlink"/>
          </w:rPr>
          <w:t xml:space="preserve">https://doi.org/10.1007/s11205-011-9915-5</w:t>
        </w:r>
      </w:hyperlink>
      <w:r>
        <w:t xml:space="preserve">.</w:t>
      </w:r>
    </w:p>
    <w:bookmarkEnd w:id="117"/>
    <w:bookmarkStart w:id="119"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118">
        <w:r>
          <w:rPr>
            <w:rStyle w:val="Hyperlink"/>
          </w:rPr>
          <w:t xml:space="preserve">https://doi.org/10.26504/rs176</w:t>
        </w:r>
      </w:hyperlink>
      <w:r>
        <w:t xml:space="preserve">.</w:t>
      </w:r>
    </w:p>
    <w:bookmarkEnd w:id="119"/>
    <w:bookmarkStart w:id="121"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20">
        <w:r>
          <w:rPr>
            <w:rStyle w:val="Hyperlink"/>
          </w:rPr>
          <w:t xml:space="preserve">https://doi.org/10.1017/psrm.2023.57</w:t>
        </w:r>
      </w:hyperlink>
      <w:r>
        <w:t xml:space="preserve">.</w:t>
      </w:r>
    </w:p>
    <w:bookmarkEnd w:id="121"/>
    <w:bookmarkStart w:id="122"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22"/>
    <w:bookmarkStart w:id="124"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23">
        <w:r>
          <w:rPr>
            <w:rStyle w:val="Hyperlink"/>
          </w:rPr>
          <w:t xml:space="preserve">https://doi.org/10.1177/0268580906061379</w:t>
        </w:r>
      </w:hyperlink>
      <w:r>
        <w:t xml:space="preserve">.</w:t>
      </w:r>
    </w:p>
    <w:bookmarkEnd w:id="124"/>
    <w:bookmarkStart w:id="125" w:name="ref-van_oorschot_social_2017"/>
    <w:p>
      <w:pPr>
        <w:pStyle w:val="Bibliography"/>
      </w:pPr>
      <w:r>
        <w:t xml:space="preserve">Oorschot, Wim van, and Femke Roosma. 2017.</w:t>
      </w:r>
      <w:r>
        <w:t xml:space="preserve"> </w:t>
      </w:r>
      <w:r>
        <w:t xml:space="preserve">“The Social Legitimacy of Differently Targeted Benefits.”</w:t>
      </w:r>
    </w:p>
    <w:bookmarkEnd w:id="125"/>
    <w:bookmarkStart w:id="127" w:name="ref-roantree_poverty_2024"/>
    <w:p>
      <w:pPr>
        <w:pStyle w:val="Bibliography"/>
      </w:pPr>
      <w:r>
        <w:t xml:space="preserve">Roantree, Barra, Bertrand Maître, and Helen Russell. 2024.</w:t>
      </w:r>
      <w:r>
        <w:t xml:space="preserve"> </w:t>
      </w:r>
      <w:r>
        <w:t xml:space="preserve">“Poverty, Income Inequality and Living Standards in</w:t>
      </w:r>
      <w:r>
        <w:t xml:space="preserve"> </w:t>
      </w:r>
      <w:r>
        <w:t xml:space="preserve">Ireland</w:t>
      </w:r>
      <w:r>
        <w:t xml:space="preserve">:</w:t>
      </w:r>
      <w:r>
        <w:t xml:space="preserve"> </w:t>
      </w:r>
      <w:r>
        <w:t xml:space="preserve">Fourth</w:t>
      </w:r>
      <w:r>
        <w:t xml:space="preserve"> </w:t>
      </w:r>
      <w:r>
        <w:t xml:space="preserve">Annual Report.”</w:t>
      </w:r>
      <w:r>
        <w:t xml:space="preserve"> </w:t>
      </w:r>
      <w:r>
        <w:t xml:space="preserve">Economic; Social Research Institute.</w:t>
      </w:r>
      <w:r>
        <w:t xml:space="preserve"> </w:t>
      </w:r>
      <w:hyperlink r:id="rId126">
        <w:r>
          <w:rPr>
            <w:rStyle w:val="Hyperlink"/>
          </w:rPr>
          <w:t xml:space="preserve">https://doi.org/10.26504/jr7</w:t>
        </w:r>
      </w:hyperlink>
      <w:r>
        <w:t xml:space="preserve">.</w:t>
      </w:r>
    </w:p>
    <w:bookmarkEnd w:id="127"/>
    <w:bookmarkStart w:id="129"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28">
        <w:r>
          <w:rPr>
            <w:rStyle w:val="Hyperlink"/>
          </w:rPr>
          <w:t xml:space="preserve">https://doi.org/10.3390/soc9030050</w:t>
        </w:r>
      </w:hyperlink>
      <w:r>
        <w:t xml:space="preserve">.</w:t>
      </w:r>
    </w:p>
    <w:bookmarkEnd w:id="129"/>
    <w:bookmarkStart w:id="131"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30">
        <w:r>
          <w:rPr>
            <w:rStyle w:val="Hyperlink"/>
          </w:rPr>
          <w:t xml:space="preserve">https://doi.org/10.11126/stanford/9780804782524.001.0001</w:t>
        </w:r>
      </w:hyperlink>
      <w:r>
        <w:t xml:space="preserve">.</w:t>
      </w:r>
    </w:p>
    <w:bookmarkEnd w:id="131"/>
    <w:bookmarkStart w:id="133"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32">
        <w:r>
          <w:rPr>
            <w:rStyle w:val="Hyperlink"/>
          </w:rPr>
          <w:t xml:space="preserve">https://scholar.google.com/scholar?cluster=14780777134980176311&amp;hl=en&amp;oi=scholarr</w:t>
        </w:r>
      </w:hyperlink>
      <w:r>
        <w:t xml:space="preserve">.</w:t>
      </w:r>
    </w:p>
    <w:bookmarkEnd w:id="133"/>
    <w:bookmarkStart w:id="135"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34">
        <w:r>
          <w:rPr>
            <w:rStyle w:val="Hyperlink"/>
          </w:rPr>
          <w:t xml:space="preserve">https://doi.org/10.1057/s41269-022-00260-9</w:t>
        </w:r>
      </w:hyperlink>
      <w:r>
        <w:t xml:space="preserve">.</w:t>
      </w:r>
    </w:p>
    <w:bookmarkEnd w:id="135"/>
    <w:bookmarkEnd w:id="136"/>
    <w:bookmarkEnd w:id="137"/>
    <w:sectPr w:rsidR="00A53471" w:rsidSect="009F4E1E">
      <w:headerReference r:id="rId9" w:type="even"/>
      <w:headerReference r:id="rId10"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6A4AD7D3" w:rsidR="009F4E1E" w:rsidRPr="004A7C10" w:rsidRDefault="009F4E1E" w:rsidP="004A7C10">
    <w:pPr>
      <w:pStyle w:val="Header"/>
    </w:pPr>
    <w:r w:rsidRPr="004A7C10">
      <w:rPr>
        <w:rStyle w:val="PageNumber"/>
      </w:rPr>
      <w:fldChar w:fldCharType="begin"/>
    </w:r>
    <w:r w:rsidRPr="004A7C10">
      <w:rPr>
        <w:rStyle w:val="PageNumber"/>
      </w:rPr>
      <w:instrText xml:space="preserve"> PAGE </w:instrText>
    </w:r>
    <w:r w:rsidRPr="004A7C10">
      <w:rPr>
        <w:rStyle w:val="PageNumber"/>
      </w:rPr>
      <w:fldChar w:fldCharType="separate"/>
    </w:r>
    <w:r w:rsidRPr="004A7C10">
      <w:rPr>
        <w:rStyle w:val="PageNumber"/>
      </w:rPr>
      <w:t>2</w:t>
    </w:r>
    <w:r w:rsidRPr="004A7C10">
      <w:rPr>
        <w:rStyle w:val="PageNumber"/>
      </w:rPr>
      <w:fldChar w:fldCharType="end"/>
    </w:r>
    <w:r w:rsidRPr="004A7C10">
      <w:rPr>
        <w:rStyle w:val="PageNumber"/>
      </w:rPr>
      <w:t xml:space="preserve"> </w:t>
    </w:r>
    <w:r w:rsidRPr="004A7C10">
      <w:t xml:space="preserve">| </w:t>
    </w:r>
    <w:fldSimple w:instr=" STYLEREF  Title  \* MERGEFORMAT ">
      <w:r w:rsidR="004A7C10">
        <w:rPr>
          <w:noProof/>
        </w:rPr>
        <w:t>Title</w:t>
      </w:r>
    </w:fldSimple>
    <w:r w:rsidRPr="004A7C10">
      <w:fldChar w:fldCharType="begin"/>
    </w:r>
    <w:r w:rsidRPr="004A7C10">
      <w:instrText xml:space="preserve"> TITLE   \* MERGEFORMAT </w:instrText>
    </w:r>
    <w:r w:rsidRPr="004A7C10">
      <w:fldChar w:fldCharType="end"/>
    </w:r>
  </w:p>
  <w:p w14:paraId="67AE08AB" w14:textId="77777777" w:rsidR="009F4E1E" w:rsidRDefault="009F4E1E" w:rsidP="004A7C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9D66" w14:textId="3444470C" w:rsidR="009F4E1E" w:rsidRPr="009D5038" w:rsidRDefault="009F4E1E" w:rsidP="004A7C10">
    <w:pPr>
      <w:pStyle w:val="Header"/>
      <w:jc w:val="right"/>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quot;Heading 1&quot;  \* MERGEFORMAT ">
      <w:r w:rsidR="004A7C10">
        <w:rPr>
          <w:noProof/>
        </w:rPr>
        <w:t>Heading 1</w:t>
      </w:r>
    </w:fldSimple>
    <w:r>
      <w:fldChar w:fldCharType="begin"/>
    </w:r>
    <w:r>
      <w:instrText xml:space="preserve"> TITLE   \* MERGEFORMAT </w:instrText>
    </w:r>
    <w:r>
      <w:fldChar w:fldCharType="end"/>
    </w:r>
  </w:p>
  <w:p w14:paraId="1ECA66F5" w14:textId="77777777" w:rsidR="009F4E1E" w:rsidRDefault="009F4E1E" w:rsidP="004A7C1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0"/>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1" w:latentStyles="1" w:numberingStyles="0" w:stylesInUse="0" w:tableStyles="0" w:top3HeadingStyles="0" w:val="4024" w:visibleStyles="1"/>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Setting w:name="useWord2013TrackBottomHyphenation" w:uri="http://schemas.microsoft.com/office/word" w:val="1"/>
  </w:compat>
  <w:rsids>
    <w:rsidRoot w:val="00A53471"/>
    <w:rsid w:val="00200A84"/>
    <w:rsid w:val="004A7C10"/>
    <w:rsid w:val="006C405E"/>
    <w:rsid w:val="006C419F"/>
    <w:rsid w:val="008405AB"/>
    <w:rsid w:val="008972D0"/>
    <w:rsid w:val="009F4E1E"/>
    <w:rsid w:val="00A53471"/>
    <w:rsid w:val="00D26C7B"/>
    <w:rsid w:val="00E22034"/>
    <w:rsid w:val="00F45C1F"/>
    <w:rsid w:val="00F63983"/>
    <w:rsid w:val="00F64700"/>
    <w:rsid w:val="00FC41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A7C10"/>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E22034"/>
    <w:pPr>
      <w:pBdr>
        <w:bottom w:color="1F355E" w:space="1" w:sz="18" w:val="single"/>
      </w:pBdr>
      <w:spacing w:before="360"/>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F45C1F"/>
    <w:pPr>
      <w:keepNext/>
      <w:autoSpaceDE/>
      <w:autoSpaceDN/>
      <w:spacing w:before="480"/>
      <w:ind w:hanging="709" w:left="1560"/>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9F4E1E"/>
    <w:pPr>
      <w:keepNext/>
      <w:keepLines/>
      <w:spacing w:after="80" w:before="160"/>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45C1F"/>
    <w:pPr>
      <w:spacing w:after="180" w:before="180"/>
    </w:pPr>
  </w:style>
  <w:style w:customStyle="1" w:styleId="FirstParagraph" w:type="paragraph">
    <w:name w:val="First Paragraph"/>
    <w:basedOn w:val="BodyText"/>
    <w:next w:val="BodyText"/>
    <w:qFormat/>
    <w:rsid w:val="00F45C1F"/>
    <w:pPr>
      <w:spacing w:after="120" w:before="360"/>
    </w:pPr>
  </w:style>
  <w:style w:customStyle="1" w:styleId="Compact" w:type="paragraph">
    <w:name w:val="Compact"/>
    <w:next w:val="FirstParagraph"/>
    <w:qFormat/>
    <w:rsid w:val="009F4E1E"/>
    <w:pPr>
      <w:spacing w:after="36" w:before="36"/>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F45C1F"/>
    <w:pPr>
      <w:keepNext/>
      <w:keepLines/>
      <w:ind w:left="851"/>
    </w:pPr>
    <w:rPr>
      <w:rFonts w:ascii="Calibri" w:cs="Calibri" w:hAnsi="Calibr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22034"/>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F45C1F"/>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9F4E1E"/>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9F4E1E"/>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rsid w:val="00F45C1F"/>
    <w:pPr>
      <w:spacing w:after="100"/>
    </w:p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4A7C10"/>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4A7C10"/>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styleId="PageNumber" w:type="character">
    <w:name w:val="page number"/>
    <w:rsid w:val="006C405E"/>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82" Target="media/rId82.png" /><Relationship Type="http://schemas.openxmlformats.org/officeDocument/2006/relationships/image" Id="rId30" Target="media/rId3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44" Target="media/rId44.png" /><Relationship Type="http://schemas.openxmlformats.org/officeDocument/2006/relationships/image" Id="rId87" Target="media/rId87.png" /><Relationship Type="http://schemas.openxmlformats.org/officeDocument/2006/relationships/image" Id="rId74" Target="media/rId74.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78" Target="media/rId78.png" /><Relationship Type="http://schemas.openxmlformats.org/officeDocument/2006/relationships/hyperlink" Id="rId22" Target="@sec-change" TargetMode="External" /><Relationship Type="http://schemas.openxmlformats.org/officeDocument/2006/relationships/hyperlink" Id="rId21" Target="@sec-what" TargetMode="External" /><Relationship Type="http://schemas.openxmlformats.org/officeDocument/2006/relationships/hyperlink" Id="rId20" Target="@sec-who" TargetMode="External" /><Relationship Type="http://schemas.openxmlformats.org/officeDocument/2006/relationships/hyperlink" Id="rId116" Target="https://doi.org/10.1007/s11205-011-9915-5" TargetMode="External" /><Relationship Type="http://schemas.openxmlformats.org/officeDocument/2006/relationships/hyperlink" Id="rId108" Target="https://doi.org/10.1016/j.jebo.2021.03.017" TargetMode="External" /><Relationship Type="http://schemas.openxmlformats.org/officeDocument/2006/relationships/hyperlink" Id="rId120" Target="https://doi.org/10.1017/psrm.2023.57" TargetMode="External" /><Relationship Type="http://schemas.openxmlformats.org/officeDocument/2006/relationships/hyperlink" Id="rId134" Target="https://doi.org/10.1057/s41269-022-00260-9" TargetMode="External" /><Relationship Type="http://schemas.openxmlformats.org/officeDocument/2006/relationships/hyperlink" Id="rId112" Target="https://doi.org/10.1111/j.1467-9477.2008.00211.x" TargetMode="External" /><Relationship Type="http://schemas.openxmlformats.org/officeDocument/2006/relationships/hyperlink" Id="rId130" Target="https://doi.org/10.11126/stanford/9780804782524.001.0001" TargetMode="External" /><Relationship Type="http://schemas.openxmlformats.org/officeDocument/2006/relationships/hyperlink" Id="rId123" Target="https://doi.org/10.1177/0268580906061379" TargetMode="External" /><Relationship Type="http://schemas.openxmlformats.org/officeDocument/2006/relationships/hyperlink" Id="rId114" Target="https://doi.org/10.1177/0958928720978012" TargetMode="External" /><Relationship Type="http://schemas.openxmlformats.org/officeDocument/2006/relationships/hyperlink" Id="rId110" Target="https://doi.org/10.1177/09589287211066469" TargetMode="External" /><Relationship Type="http://schemas.openxmlformats.org/officeDocument/2006/relationships/hyperlink" Id="rId106" Target="https://doi.org/10.1177/09589287241290742" TargetMode="External" /><Relationship Type="http://schemas.openxmlformats.org/officeDocument/2006/relationships/hyperlink" Id="rId126" Target="https://doi.org/10.26504/jr7" TargetMode="External" /><Relationship Type="http://schemas.openxmlformats.org/officeDocument/2006/relationships/hyperlink" Id="rId118" Target="https://doi.org/10.26504/rs176" TargetMode="External" /><Relationship Type="http://schemas.openxmlformats.org/officeDocument/2006/relationships/hyperlink" Id="rId128" Target="https://doi.org/10.3390/soc9030050" TargetMode="External" /><Relationship Type="http://schemas.openxmlformats.org/officeDocument/2006/relationships/hyperlink" Id="rId132"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22" Target="@sec-change" TargetMode="External" /><Relationship Type="http://schemas.openxmlformats.org/officeDocument/2006/relationships/hyperlink" Id="rId21" Target="@sec-what" TargetMode="External" /><Relationship Type="http://schemas.openxmlformats.org/officeDocument/2006/relationships/hyperlink" Id="rId20" Target="@sec-who" TargetMode="External" /><Relationship Type="http://schemas.openxmlformats.org/officeDocument/2006/relationships/hyperlink" Id="rId116" Target="https://doi.org/10.1007/s11205-011-9915-5" TargetMode="External" /><Relationship Type="http://schemas.openxmlformats.org/officeDocument/2006/relationships/hyperlink" Id="rId108" Target="https://doi.org/10.1016/j.jebo.2021.03.017" TargetMode="External" /><Relationship Type="http://schemas.openxmlformats.org/officeDocument/2006/relationships/hyperlink" Id="rId120" Target="https://doi.org/10.1017/psrm.2023.57" TargetMode="External" /><Relationship Type="http://schemas.openxmlformats.org/officeDocument/2006/relationships/hyperlink" Id="rId134" Target="https://doi.org/10.1057/s41269-022-00260-9" TargetMode="External" /><Relationship Type="http://schemas.openxmlformats.org/officeDocument/2006/relationships/hyperlink" Id="rId112" Target="https://doi.org/10.1111/j.1467-9477.2008.00211.x" TargetMode="External" /><Relationship Type="http://schemas.openxmlformats.org/officeDocument/2006/relationships/hyperlink" Id="rId130" Target="https://doi.org/10.11126/stanford/9780804782524.001.0001" TargetMode="External" /><Relationship Type="http://schemas.openxmlformats.org/officeDocument/2006/relationships/hyperlink" Id="rId123" Target="https://doi.org/10.1177/0268580906061379" TargetMode="External" /><Relationship Type="http://schemas.openxmlformats.org/officeDocument/2006/relationships/hyperlink" Id="rId114" Target="https://doi.org/10.1177/0958928720978012" TargetMode="External" /><Relationship Type="http://schemas.openxmlformats.org/officeDocument/2006/relationships/hyperlink" Id="rId110" Target="https://doi.org/10.1177/09589287211066469" TargetMode="External" /><Relationship Type="http://schemas.openxmlformats.org/officeDocument/2006/relationships/hyperlink" Id="rId106" Target="https://doi.org/10.1177/09589287241290742" TargetMode="External" /><Relationship Type="http://schemas.openxmlformats.org/officeDocument/2006/relationships/hyperlink" Id="rId126" Target="https://doi.org/10.26504/jr7" TargetMode="External" /><Relationship Type="http://schemas.openxmlformats.org/officeDocument/2006/relationships/hyperlink" Id="rId118" Target="https://doi.org/10.26504/rs176" TargetMode="External" /><Relationship Type="http://schemas.openxmlformats.org/officeDocument/2006/relationships/hyperlink" Id="rId128" Target="https://doi.org/10.3390/soc9030050" TargetMode="External" /><Relationship Type="http://schemas.openxmlformats.org/officeDocument/2006/relationships/hyperlink" Id="rId132"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106</Words>
  <Characters>606</Characters>
  <Application>Microsoft Office Word</Application>
  <DocSecurity>0</DocSecurity>
  <Lines>5</Lines>
  <Paragraphs>1</Paragraphs>
  <ScaleCrop>false</ScaleCrop>
  <Company/>
  <LinksUpToDate>false</LinksUpToDate>
  <CharactersWithSpaces>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
  <cp:keywords/>
  <dcterms:created xsi:type="dcterms:W3CDTF">2025-06-27T17:38:32Z</dcterms:created>
  <dcterms:modified xsi:type="dcterms:W3CDTF">2025-06-27T17:38:32Z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_assets/CFI_Redistribution.bib</vt:lpwstr>
  </property>
  <property fmtid="{D5CDD505-2E9C-101B-9397-08002B2CF9AE}" pid="4" name="execute">
    <vt:lpwstr/>
  </property>
  <property fmtid="{D5CDD505-2E9C-101B-9397-08002B2CF9AE}" pid="5" name="fig-cap-location">
    <vt:lpwstr>top</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