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4.png" ContentType="image/png"/>
  <Override PartName="/word/media/rId41.png" ContentType="image/png"/>
  <Override PartName="/word/media/rId45.png" ContentType="image/png"/>
  <Override PartName="/word/media/rId69.png" ContentType="image/png"/>
  <Override PartName="/word/media/rId49.png" ContentType="image/png"/>
  <Override PartName="/word/media/rId94.png" ContentType="image/png"/>
  <Override PartName="/word/media/rId62.png" ContentType="image/png"/>
  <Override PartName="/word/media/rId27.png" ContentType="image/png"/>
  <Override PartName="/word/media/rId90.png" ContentType="image/png"/>
  <Override PartName="/word/media/rId84.png" ContentType="image/png"/>
  <Override PartName="/word/media/rId73.png" ContentType="image/png"/>
  <Override PartName="/word/media/rId37.png" ContentType="image/png"/>
  <Override PartName="/word/media/rId32.png" ContentType="image/png"/>
  <Override PartName="/word/media/rId104.png" ContentType="image/png"/>
  <Override PartName="/word/media/rId78.png" ContentType="image/png"/>
  <Override PartName="/word/media/rId55.png" ContentType="image/png"/>
  <Override PartName="/word/media/rId108.png" ContentType="image/png"/>
  <Override PartName="/word/media/rId10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challenges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market inequality, and poverty</w:t>
      </w:r>
      <w:r>
        <w:t xml:space="preserve"> </w:t>
      </w:r>
      <w:r>
        <w:t xml:space="preserve">(</w:t>
      </w:r>
      <w:hyperlink w:anchor="ref-roantree_poverty_2024">
        <w:r>
          <w:rPr>
            <w:rStyle w:val="Hyperlink"/>
          </w:rPr>
          <w:t xml:space="preserve">Roantree, Maître, and Russell 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Irish residents think about welfare policies?</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beneficiaries. Finally,</w:t>
      </w:r>
      <w:r>
        <w:t xml:space="preserve"> </w:t>
      </w:r>
      <w:hyperlink w:anchor="sec-change">
        <w:r>
          <w:rPr>
            <w:rStyle w:val="Hyperlink"/>
          </w:rPr>
          <w:t xml:space="preserve">Chapter 4</w:t>
        </w:r>
      </w:hyperlink>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ESS respondents from lower social classes and in worse financial situation are more likely to agree that the government should be responsible for reducing differences in income levels (</w:t>
      </w:r>
      <w:hyperlink w:anchor="tbl-multiv-gincdif">
        <w:r>
          <w:rPr>
            <w:rStyle w:val="Hyperlink"/>
          </w:rPr>
          <w:t xml:space="preserve">Table 1</w:t>
        </w:r>
      </w:hyperlink>
      <w:r>
        <w:t xml:space="preserve">).</w:t>
      </w:r>
    </w:p>
    <w:p>
      <w:pPr>
        <w:numPr>
          <w:ilvl w:val="0"/>
          <w:numId w:val="1002"/>
        </w:numPr>
      </w:pPr>
      <w:r>
        <w:t xml:space="preserve">There is a slightly higher average support for income redistribution in Ireland compared to other northern European countries (</w:t>
      </w:r>
      <w:hyperlink w:anchor="fig-eumap">
        <w:r>
          <w:rPr>
            <w:rStyle w:val="Hyperlink"/>
          </w:rPr>
          <w:t xml:space="preserve">Figure 1</w:t>
        </w:r>
      </w:hyperlink>
      <w:r>
        <w:t xml:space="preserve">).</w:t>
      </w:r>
    </w:p>
    <w:p>
      <w:pPr>
        <w:numPr>
          <w:ilvl w:val="0"/>
          <w:numId w:val="1002"/>
        </w:numPr>
      </w:pPr>
      <w:r>
        <w:t xml:space="preserve">Ireland has one of the highest proportions in Europe of respondents who believe that</w:t>
      </w:r>
      <w:r>
        <w:t xml:space="preserve"> </w:t>
      </w:r>
      <w:r>
        <w:t xml:space="preserve">‘social benefits make people lazy’</w:t>
      </w:r>
      <w:r>
        <w:t xml:space="preserve"> </w:t>
      </w:r>
      <w:r>
        <w:t xml:space="preserve">(</w:t>
      </w:r>
      <w:hyperlink w:anchor="fig-lazy">
        <w:r>
          <w:rPr>
            <w:rStyle w:val="Hyperlink"/>
          </w:rPr>
          <w:t xml:space="preserve">Figure 9</w:t>
        </w:r>
      </w:hyperlink>
      <w:r>
        <w:t xml:space="preserve">).</w:t>
      </w:r>
    </w:p>
    <w:p>
      <w:pPr>
        <w:numPr>
          <w:ilvl w:val="0"/>
          <w:numId w:val="1002"/>
        </w:numPr>
      </w:pPr>
      <w:r>
        <w:t xml:space="preserve">Younger, right-wing, and those with lower educational attainment are more likely to agree that social benefits make people lazy (</w:t>
      </w:r>
      <w:hyperlink w:anchor="tbl-multiv-beliefs">
        <w:r>
          <w:rPr>
            <w:rStyle w:val="Hyperlink"/>
          </w:rPr>
          <w:t xml:space="preserve">Table 2</w:t>
        </w:r>
      </w:hyperlink>
      <w:r>
        <w:t xml:space="preserve">).</w:t>
      </w:r>
    </w:p>
    <w:p>
      <w:pPr>
        <w:numPr>
          <w:ilvl w:val="0"/>
          <w:numId w:val="1002"/>
        </w:numPr>
      </w:pPr>
      <w:r>
        <w:t xml:space="preserve">From 2009 to 2016 there was an increase in the proportion of respondents who agree that</w:t>
      </w:r>
      <w:r>
        <w:t xml:space="preserve"> </w:t>
      </w:r>
      <w:r>
        <w:t xml:space="preserve">‘social benefits lead to a more equal society’</w:t>
      </w:r>
      <w:r>
        <w:t xml:space="preserve"> </w:t>
      </w:r>
      <w:r>
        <w:t xml:space="preserve">(</w:t>
      </w:r>
      <w:r>
        <w:t xml:space="preserve">(</w:t>
      </w:r>
      <w:hyperlink w:anchor="ref-fig_benefits">
        <w:r>
          <w:rPr>
            <w:rStyle w:val="Hyperlink"/>
            <w:b/>
            <w:bCs/>
          </w:rPr>
          <w:t xml:space="preserve">fig_benefits?</w:t>
        </w:r>
      </w:hyperlink>
      <w:r>
        <w:t xml:space="preserve">)</w:t>
      </w:r>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 in welfare attitudes</w:t>
      </w:r>
      <w:r>
        <w:t xml:space="preserve"> </w:t>
      </w:r>
      <w:r>
        <w:t xml:space="preserve">(</w:t>
      </w:r>
      <w:hyperlink w:anchor="ref-goerres_can_2012">
        <w:r>
          <w:rPr>
            <w:rStyle w:val="Hyperlink"/>
          </w:rPr>
          <w:t xml:space="preserve">Goerres and Prinzen 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w:t>
      </w:r>
      <w:r>
        <w:t xml:space="preserve"> </w:t>
      </w:r>
      <w:r>
        <w:t xml:space="preserve">Oesch (</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behaviours and political attitudes.</w:t>
      </w:r>
    </w:p>
    <w:bookmarkEnd w:id="22"/>
    <w:bookmarkEnd w:id="23"/>
    <w:bookmarkStart w:id="60"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Recent studies have raised concerns in relation to the reliability of this question as a measurement of support for redistribution.</w:t>
      </w:r>
      <w:r>
        <w:t xml:space="preserve"> </w:t>
      </w:r>
      <w:r>
        <w:t xml:space="preserve">Margalit and Raviv (</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w:t>
      </w:r>
      <w:hyperlink w:anchor="ref-dallinger_ambivalence_2022">
        <w:r>
          <w:rPr>
            <w:rStyle w:val="Hyperlink"/>
          </w:rPr>
          <w:t xml:space="preserve">Dallinger 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overall levels of support for income redistribution in 2023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Meuleman et al. (</w:t>
      </w:r>
      <w:hyperlink w:anchor="ref-meuleman_past_2018">
        <w:r>
          <w:rPr>
            <w:rStyle w:val="Hyperlink"/>
          </w:rPr>
          <w:t xml:space="preserve">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arguing that countries with higher income inequality tend to be more supportive of income redistribution. About 75% of respondents in Ireland indicated that they either</w:t>
      </w:r>
      <w:r>
        <w:t xml:space="preserve"> </w:t>
      </w:r>
      <w:r>
        <w:t xml:space="preserve">‘agree’</w:t>
      </w:r>
      <w:r>
        <w:t xml:space="preserve"> </w:t>
      </w:r>
      <w:r>
        <w:t xml:space="preserve">or</w:t>
      </w:r>
      <w:r>
        <w:t xml:space="preserve"> </w:t>
      </w:r>
      <w:r>
        <w:t xml:space="preserve">‘agree strongly’</w:t>
      </w:r>
      <w:r>
        <w:t xml:space="preserve"> </w:t>
      </w:r>
      <w:r>
        <w:t xml:space="preserve">that the government should reduce income differences. This percentage is higher than the European average (69%), and the one observed in France (70%), UK (68%), the Netherlands (62%) and Poland (56%).</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start"/>
              <w:spacing w:before="200"/>
              <w:pStyle w:val="ImageCaption"/>
            </w:pPr>
            <w:r>
              <w:t xml:space="preserve">Figure 1: Percentage who agree that the</w:t>
            </w:r>
            <w:r>
              <w:t xml:space="preserve"> </w:t>
            </w:r>
            <w:r>
              <w:t xml:space="preserve">‘Government should reduce income differences’</w:t>
            </w:r>
            <w:r>
              <w:t xml:space="preserve">, Europe, 2023</w:t>
            </w:r>
          </w:p>
          <w:p>
            <w:pPr>
              <w:pStyle w:val="Compact"/>
              <w:jc w:val="center"/>
            </w:pPr>
            <w:r>
              <w:drawing>
                <wp:inline>
                  <wp:extent cx="4160520" cy="3328415"/>
                  <wp:effectExtent b="0" l="0" r="0" t="0"/>
                  <wp:docPr descr="" title="" id="28" name="Picture"/>
                  <a:graphic>
                    <a:graphicData uri="http://schemas.openxmlformats.org/drawingml/2006/picture">
                      <pic:pic>
                        <pic:nvPicPr>
                          <pic:cNvPr descr="_assets/img/fig_eumap.png" id="29" name="Picture"/>
                          <pic:cNvPicPr>
                            <a:picLocks noChangeArrowheads="1" noChangeAspect="1"/>
                          </pic:cNvPicPr>
                        </pic:nvPicPr>
                        <pic:blipFill>
                          <a:blip r:embed="rId27"/>
                          <a:stretch>
                            <a:fillRect/>
                          </a:stretch>
                        </pic:blipFill>
                        <pic:spPr bwMode="auto">
                          <a:xfrm>
                            <a:off x="0" y="0"/>
                            <a:ext cx="4160520" cy="3328415"/>
                          </a:xfrm>
                          <a:prstGeom prst="rect">
                            <a:avLst/>
                          </a:prstGeom>
                          <a:noFill/>
                          <a:ln w="9525">
                            <a:noFill/>
                            <a:headEnd/>
                            <a:tailEnd/>
                          </a:ln>
                        </pic:spPr>
                      </pic:pic>
                    </a:graphicData>
                  </a:graphic>
                </wp:inline>
              </w:drawing>
            </w:r>
          </w:p>
          <w:bookmarkEnd w:id="30"/>
        </w:tc>
      </w:tr>
    </w:tbl>
    <w:bookmarkEnd w:id="31"/>
    <w:bookmarkStart w:id="36" w:name="X444954fb25763f597bb4d505e5e46bc32fb4872"/>
    <w:p>
      <w:pPr>
        <w:pStyle w:val="Heading2"/>
      </w:pPr>
      <w:r>
        <w:t xml:space="preserve">2.2 There is no clear relationship between support for redistribution and willingness to pay more taxes</w:t>
      </w:r>
    </w:p>
    <w:p>
      <w:pPr>
        <w:pStyle w:val="FirstParagraph"/>
      </w:pPr>
      <w:r>
        <w:t xml:space="preserve">In 2025, the Eurobarometer conducted a survey on citizen’s attitudes towards taxation. Participants were asked which among the following statements they agreed the most:</w:t>
      </w:r>
    </w:p>
    <w:p>
      <w:pPr>
        <w:pStyle w:val="Compact"/>
        <w:numPr>
          <w:ilvl w:val="0"/>
          <w:numId w:val="1003"/>
        </w:numPr>
      </w:pPr>
      <w:r>
        <w:rPr>
          <w:i/>
          <w:iCs/>
        </w:rPr>
        <w:t xml:space="preserve">Taxes are too high, and I would decrease them even if it means fewer or lower quality public services</w:t>
      </w:r>
      <w:r>
        <w:br/>
      </w:r>
    </w:p>
    <w:p>
      <w:pPr>
        <w:pStyle w:val="Compact"/>
        <w:numPr>
          <w:ilvl w:val="0"/>
          <w:numId w:val="1003"/>
        </w:numPr>
      </w:pPr>
      <w:r>
        <w:rPr>
          <w:i/>
          <w:iCs/>
        </w:rPr>
        <w:t xml:space="preserve">I agree with higher taxes if it means more or better public services</w:t>
      </w:r>
      <w:r>
        <w:br/>
      </w:r>
    </w:p>
    <w:p>
      <w:pPr>
        <w:pStyle w:val="Compact"/>
        <w:numPr>
          <w:ilvl w:val="0"/>
          <w:numId w:val="1003"/>
        </w:numPr>
      </w:pPr>
      <w:r>
        <w:rPr>
          <w:i/>
          <w:iCs/>
        </w:rPr>
        <w:t xml:space="preserve">Both taxes and public services should stay at the same level</w:t>
      </w:r>
    </w:p>
    <w:p>
      <w:pPr>
        <w:pStyle w:val="FirstParagraph"/>
      </w:pPr>
      <w:r>
        <w:t xml:space="preserve">In Ireland, 34% of respondents indicated that they would agree with higher taxes if it means more or better public services. This is the 6th highest percentage across the 27 participant countries. This proportion varies from 16% in Luxembourg and Belgium to 42% in Sweden and Spain. Comparing countries at the national level in @, there is no clear relationship between this question and the overall support for redistribution measured by the ESS in 2023.</w:t>
      </w:r>
    </w:p>
    <w:tbl>
      <w:tblPr>
        <w:tblStyle w:val="Table"/>
        <w:tblW w:type="pct" w:w="5000"/>
        <w:tblLayout w:type="fixed"/>
        <w:tblLook w:firstRow="0" w:lastRow="0" w:firstColumn="0" w:lastColumn="0" w:noHBand="0" w:noVBand="0" w:val="0000"/>
      </w:tblPr>
      <w:tblGrid>
        <w:gridCol w:w="7920"/>
      </w:tblGrid>
      <w:tr>
        <w:tc>
          <w:tcPr/>
          <w:bookmarkStart w:id="35" w:name="fig-tax"/>
          <w:p>
            <w:pPr>
              <w:jc w:val="center"/>
            </w:pPr>
            <w:pPr>
              <w:jc w:val="start"/>
              <w:spacing w:before="200"/>
              <w:pStyle w:val="ImageCaption"/>
            </w:pPr>
            <w:r>
              <w:t xml:space="preserve">Figure 2: Relationship between agreement that the</w:t>
            </w:r>
            <w:r>
              <w:t xml:space="preserve"> </w:t>
            </w:r>
            <w:r>
              <w:t xml:space="preserve">‘Government should reduce income differences’</w:t>
            </w:r>
            <w:r>
              <w:t xml:space="preserve"> </w:t>
            </w:r>
            <w:r>
              <w:t xml:space="preserve">and there could be</w:t>
            </w:r>
            <w:r>
              <w:t xml:space="preserve"> </w:t>
            </w:r>
            <w:r>
              <w:t xml:space="preserve">‘higher taxes if it means more or better public services’</w:t>
            </w:r>
            <w:r>
              <w:t xml:space="preserve">, Europe, 2023-2025</w:t>
            </w:r>
          </w:p>
          <w:p>
            <w:pPr>
              <w:pStyle w:val="Compact"/>
              <w:jc w:val="center"/>
            </w:pPr>
            <w:r>
              <w:drawing>
                <wp:inline>
                  <wp:extent cx="4160520" cy="3120390"/>
                  <wp:effectExtent b="0" l="0" r="0" t="0"/>
                  <wp:docPr descr="" title="" id="33" name="Picture"/>
                  <a:graphic>
                    <a:graphicData uri="http://schemas.openxmlformats.org/drawingml/2006/picture">
                      <pic:pic>
                        <pic:nvPicPr>
                          <pic:cNvPr descr="_assets/img/fig_taxes.png" id="34" name="Picture"/>
                          <pic:cNvPicPr>
                            <a:picLocks noChangeArrowheads="1" noChangeAspect="1"/>
                          </pic:cNvPicPr>
                        </pic:nvPicPr>
                        <pic:blipFill>
                          <a:blip r:embed="rId32"/>
                          <a:stretch>
                            <a:fillRect/>
                          </a:stretch>
                        </pic:blipFill>
                        <pic:spPr bwMode="auto">
                          <a:xfrm>
                            <a:off x="0" y="0"/>
                            <a:ext cx="4160520" cy="3120390"/>
                          </a:xfrm>
                          <a:prstGeom prst="rect">
                            <a:avLst/>
                          </a:prstGeom>
                          <a:noFill/>
                          <a:ln w="9525">
                            <a:noFill/>
                            <a:headEnd/>
                            <a:tailEnd/>
                          </a:ln>
                        </pic:spPr>
                      </pic:pic>
                    </a:graphicData>
                  </a:graphic>
                </wp:inline>
              </w:drawing>
            </w:r>
          </w:p>
          <w:bookmarkEnd w:id="35"/>
        </w:tc>
      </w:tr>
    </w:tbl>
    <w:bookmarkEnd w:id="36"/>
    <w:bookmarkStart w:id="53" w:name="X08c4e4b2838482c03094cf33e6e7647e27919c9"/>
    <w:p>
      <w:pPr>
        <w:pStyle w:val="Heading2"/>
      </w:pPr>
      <w:r>
        <w:t xml:space="preserve">2.3 Female and working class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Garritzmann and Schwander (</w:t>
      </w:r>
      <w:hyperlink w:anchor="ref-garritzmann_gender_2021">
        <w:r>
          <w:rPr>
            <w:rStyle w:val="Hyperlink"/>
          </w:rPr>
          <w:t xml:space="preserve">2021</w:t>
        </w:r>
      </w:hyperlink>
      <w:r>
        <w:t xml:space="preserve">)</w:t>
      </w:r>
      <w:r>
        <w:t xml:space="preserve">. Considering the marked gender differences in access to the labour market and levels of pay in Ireland</w:t>
      </w:r>
      <w:r>
        <w:t xml:space="preserve"> </w:t>
      </w:r>
      <w:r>
        <w:t xml:space="preserve">Hingre et al. (</w:t>
      </w:r>
      <w:hyperlink w:anchor="ref-hingre_gender_2024">
        <w:r>
          <w:rPr>
            <w:rStyle w:val="Hyperlink"/>
          </w:rPr>
          <w:t xml:space="preserve">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a similar mean values for male (3.9) and female (3.9) respondents.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3</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40" w:name="fig-sex"/>
          <w:p>
            <w:pPr>
              <w:jc w:val="center"/>
            </w:pPr>
            <w:pPr>
              <w:jc w:val="start"/>
              <w:spacing w:before="200"/>
              <w:pStyle w:val="ImageCaption"/>
            </w:pPr>
            <w:r>
              <w:t xml:space="preserve">Figure 3: Proportion who agree that the</w:t>
            </w:r>
            <w:r>
              <w:t xml:space="preserve"> </w:t>
            </w:r>
            <w:r>
              <w:t xml:space="preserve">‘Governement should reduce income differences’</w:t>
            </w:r>
            <w:r>
              <w:t xml:space="preserve"> </w:t>
            </w:r>
            <w:r>
              <w:t xml:space="preserve">in Ireland by sex, 2002-2023</w:t>
            </w:r>
          </w:p>
          <w:p>
            <w:pPr>
              <w:pStyle w:val="Compact"/>
              <w:jc w:val="center"/>
            </w:pPr>
            <w:r>
              <w:drawing>
                <wp:inline>
                  <wp:extent cx="4160520" cy="2773680"/>
                  <wp:effectExtent b="0" l="0" r="0" t="0"/>
                  <wp:docPr descr="" title="" id="38" name="Picture"/>
                  <a:graphic>
                    <a:graphicData uri="http://schemas.openxmlformats.org/drawingml/2006/picture">
                      <pic:pic>
                        <pic:nvPicPr>
                          <pic:cNvPr descr="_assets/img/fig_sex.png" id="39" name="Picture"/>
                          <pic:cNvPicPr>
                            <a:picLocks noChangeArrowheads="1" noChangeAspect="1"/>
                          </pic:cNvPicPr>
                        </pic:nvPicPr>
                        <pic:blipFill>
                          <a:blip r:embed="rId37"/>
                          <a:stretch>
                            <a:fillRect/>
                          </a:stretch>
                        </pic:blipFill>
                        <pic:spPr bwMode="auto">
                          <a:xfrm>
                            <a:off x="0" y="0"/>
                            <a:ext cx="4160520" cy="2773680"/>
                          </a:xfrm>
                          <a:prstGeom prst="rect">
                            <a:avLst/>
                          </a:prstGeom>
                          <a:noFill/>
                          <a:ln w="9525">
                            <a:noFill/>
                            <a:headEnd/>
                            <a:tailEnd/>
                          </a:ln>
                        </pic:spPr>
                      </pic:pic>
                    </a:graphicData>
                  </a:graphic>
                </wp:inline>
              </w:drawing>
            </w:r>
          </w:p>
          <w:bookmarkEnd w:id="40"/>
        </w:tc>
      </w:tr>
    </w:tbl>
    <w:p>
      <w:pPr>
        <w:pStyle w:val="BodyText"/>
      </w:pPr>
      <w:r>
        <w:t xml:space="preserve">In addition, data suggest an age pattern where younger respondents tend to be more supportive of income redistribution in Ireland. As shown in</w:t>
      </w:r>
      <w:r>
        <w:t xml:space="preserve"> </w:t>
      </w:r>
      <w:hyperlink w:anchor="fig-age-eu">
        <w:r>
          <w:rPr>
            <w:rStyle w:val="Hyperlink"/>
          </w:rPr>
          <w:t xml:space="preserve">Figure 4</w:t>
        </w:r>
      </w:hyperlink>
      <w:r>
        <w:t xml:space="preserve">, the opposite pattern is observed in Germany, Finland, France, and Portugal. Although the UK also has a similar negative relationship between age and support, the agreement among young respondents (18-35) is higher in Ireland.</w:t>
      </w:r>
    </w:p>
    <w:tbl>
      <w:tblPr>
        <w:tblStyle w:val="Table"/>
        <w:tblW w:type="pct" w:w="5000"/>
        <w:tblLayout w:type="fixed"/>
        <w:tblLook w:firstRow="0" w:lastRow="0" w:firstColumn="0" w:lastColumn="0" w:noHBand="0" w:noVBand="0" w:val="0000"/>
      </w:tblPr>
      <w:tblGrid>
        <w:gridCol w:w="7920"/>
      </w:tblGrid>
      <w:tr>
        <w:tc>
          <w:tcPr/>
          <w:bookmarkStart w:id="44" w:name="fig-age-eu"/>
          <w:p>
            <w:pPr>
              <w:jc w:val="center"/>
            </w:pPr>
            <w:pPr>
              <w:jc w:val="start"/>
              <w:spacing w:before="200"/>
              <w:pStyle w:val="ImageCaption"/>
            </w:pPr>
            <w:r>
              <w:t xml:space="preserve">Figure 4: Scatter plot for</w:t>
            </w:r>
            <w:r>
              <w:t xml:space="preserve"> </w:t>
            </w:r>
            <w:r>
              <w:t xml:space="preserve">‘Government should reduce income differences’</w:t>
            </w:r>
            <w:r>
              <w:t xml:space="preserve"> </w:t>
            </w:r>
            <w:r>
              <w:t xml:space="preserve">by age and country, 2023</w:t>
            </w:r>
          </w:p>
          <w:p>
            <w:pPr>
              <w:pStyle w:val="Compact"/>
              <w:jc w:val="center"/>
            </w:pPr>
            <w:r>
              <w:drawing>
                <wp:inline>
                  <wp:extent cx="4160520" cy="2773680"/>
                  <wp:effectExtent b="0" l="0" r="0" t="0"/>
                  <wp:docPr descr="" title="" id="42" name="Picture"/>
                  <a:graphic>
                    <a:graphicData uri="http://schemas.openxmlformats.org/drawingml/2006/picture">
                      <pic:pic>
                        <pic:nvPicPr>
                          <pic:cNvPr descr="_assets/img/fig_age_eu.png" id="43" name="Picture"/>
                          <pic:cNvPicPr>
                            <a:picLocks noChangeArrowheads="1" noChangeAspect="1"/>
                          </pic:cNvPicPr>
                        </pic:nvPicPr>
                        <pic:blipFill>
                          <a:blip r:embed="rId41"/>
                          <a:stretch>
                            <a:fillRect/>
                          </a:stretch>
                        </pic:blipFill>
                        <pic:spPr bwMode="auto">
                          <a:xfrm>
                            <a:off x="0" y="0"/>
                            <a:ext cx="4160520" cy="2773680"/>
                          </a:xfrm>
                          <a:prstGeom prst="rect">
                            <a:avLst/>
                          </a:prstGeom>
                          <a:noFill/>
                          <a:ln w="9525">
                            <a:noFill/>
                            <a:headEnd/>
                            <a:tailEnd/>
                          </a:ln>
                        </pic:spPr>
                      </pic:pic>
                    </a:graphicData>
                  </a:graphic>
                </wp:inline>
              </w:drawing>
            </w:r>
          </w:p>
          <w:bookmarkEnd w:id="44"/>
        </w:tc>
      </w:tr>
    </w:tbl>
    <w:p>
      <w:pPr>
        <w:pStyle w:val="BodyText"/>
      </w:pPr>
      <w:r>
        <w:t xml:space="preserve">Using a longer time period, however, we observe different relationships depending on the time of the data collection. During the third and fourth rounds, there is a positive association between age and support for redistribution. This different associations over time might suggest a different level of support across generations instead of age groups. This topic is further explored in</w:t>
      </w:r>
      <w:r>
        <w:t xml:space="preserve"> </w:t>
      </w:r>
      <w:hyperlink w:anchor="sec-change">
        <w:r>
          <w:rPr>
            <w:rStyle w:val="Hyperlink"/>
          </w:rPr>
          <w:t xml:space="preserve">Chapter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age-round"/>
          <w:p>
            <w:pPr>
              <w:jc w:val="center"/>
            </w:pPr>
            <w:pPr>
              <w:jc w:val="start"/>
              <w:spacing w:before="200"/>
              <w:pStyle w:val="ImageCaption"/>
            </w:pPr>
            <w:r>
              <w:t xml:space="preserve">Figure 5: Scatter plot for</w:t>
            </w:r>
            <w:r>
              <w:t xml:space="preserve"> </w:t>
            </w:r>
            <w:r>
              <w:t xml:space="preserve">‘reduce income differences’</w:t>
            </w:r>
            <w:r>
              <w:t xml:space="preserve"> </w:t>
            </w:r>
            <w:r>
              <w:t xml:space="preserve">by age and ESS round, Ireland</w:t>
            </w:r>
          </w:p>
          <w:p>
            <w:pPr>
              <w:pStyle w:val="Compact"/>
              <w:jc w:val="center"/>
            </w:pPr>
            <w:r>
              <w:drawing>
                <wp:inline>
                  <wp:extent cx="4160520" cy="2600325"/>
                  <wp:effectExtent b="0" l="0" r="0" t="0"/>
                  <wp:docPr descr="" title="" id="46" name="Picture"/>
                  <a:graphic>
                    <a:graphicData uri="http://schemas.openxmlformats.org/drawingml/2006/picture">
                      <pic:pic>
                        <pic:nvPicPr>
                          <pic:cNvPr descr="_assets/img/fig_age_round.png" id="47" name="Picture"/>
                          <pic:cNvPicPr>
                            <a:picLocks noChangeArrowheads="1" noChangeAspect="1"/>
                          </pic:cNvPicPr>
                        </pic:nvPicPr>
                        <pic:blipFill>
                          <a:blip r:embed="rId45"/>
                          <a:stretch>
                            <a:fillRect/>
                          </a:stretch>
                        </pic:blipFill>
                        <pic:spPr bwMode="auto">
                          <a:xfrm>
                            <a:off x="0" y="0"/>
                            <a:ext cx="4160520" cy="2600325"/>
                          </a:xfrm>
                          <a:prstGeom prst="rect">
                            <a:avLst/>
                          </a:prstGeom>
                          <a:noFill/>
                          <a:ln w="9525">
                            <a:noFill/>
                            <a:headEnd/>
                            <a:tailEnd/>
                          </a:ln>
                        </pic:spPr>
                      </pic:pic>
                    </a:graphicData>
                  </a:graphic>
                </wp:inline>
              </w:drawing>
            </w:r>
          </w:p>
          <w:bookmarkEnd w:id="48"/>
        </w:tc>
      </w:tr>
    </w:tbl>
    <w:p>
      <w:pPr>
        <w:pStyle w:val="BodyText"/>
      </w:pPr>
      <w:r>
        <w:t xml:space="preserve">Finally, there is robust evidence for the association between social class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langsaether_more_2020">
        <w:r>
          <w:rPr>
            <w:rStyle w:val="Hyperlink"/>
          </w:rPr>
          <w:t xml:space="preserve">Langsæther and Evans 2020</w:t>
        </w:r>
      </w:hyperlink>
      <w:r>
        <w:t xml:space="preserve">)</w:t>
      </w:r>
      <w:r>
        <w:t xml:space="preserve">.The analysis by social class in Ireland suggests a negative relationship between class and the main ESS response variable. The mean values shown in</w:t>
      </w:r>
      <w:r>
        <w:t xml:space="preserve"> </w:t>
      </w:r>
      <w:hyperlink w:anchor="fig-class">
        <w:r>
          <w:rPr>
            <w:rStyle w:val="Hyperlink"/>
          </w:rPr>
          <w:t xml:space="preserve">Figure 6</w:t>
        </w:r>
      </w:hyperlink>
      <w:r>
        <w:t xml:space="preserve"> </w:t>
      </w:r>
      <w:r>
        <w:t xml:space="preserve">indicate that both</w:t>
      </w:r>
      <w:r>
        <w:t xml:space="preserve"> </w:t>
      </w:r>
      <w:r>
        <w:t xml:space="preserve">‘skilled’</w:t>
      </w:r>
      <w:r>
        <w:t xml:space="preserve"> </w:t>
      </w:r>
      <w:r>
        <w:t xml:space="preserve">and</w:t>
      </w:r>
      <w:r>
        <w:t xml:space="preserve"> </w:t>
      </w:r>
      <w:r>
        <w:t xml:space="preserve">‘unskilled’</w:t>
      </w:r>
      <w:r>
        <w:t xml:space="preserve"> </w:t>
      </w:r>
      <w:r>
        <w:t xml:space="preserve">workers 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which includes managers and professionals, show lower levels of agreement.</w:t>
      </w:r>
    </w:p>
    <w:tbl>
      <w:tblPr>
        <w:tblStyle w:val="Table"/>
        <w:tblW w:type="pct" w:w="5000"/>
        <w:tblLayout w:type="fixed"/>
        <w:tblLook w:firstRow="0" w:lastRow="0" w:firstColumn="0" w:lastColumn="0" w:noHBand="0" w:noVBand="0" w:val="0000"/>
      </w:tblPr>
      <w:tblGrid>
        <w:gridCol w:w="7920"/>
      </w:tblGrid>
      <w:tr>
        <w:tc>
          <w:tcPr/>
          <w:bookmarkStart w:id="52" w:name="fig-class"/>
          <w:p>
            <w:pPr>
              <w:jc w:val="center"/>
            </w:pPr>
            <w:pPr>
              <w:jc w:val="start"/>
              <w:spacing w:before="200"/>
              <w:pStyle w:val="ImageCaption"/>
            </w:pPr>
            <w:r>
              <w:t xml:space="preserve">Figure 6: Scatter plot for</w:t>
            </w:r>
            <w:r>
              <w:t xml:space="preserve"> </w:t>
            </w:r>
            <w:r>
              <w:t xml:space="preserve">‘income differences’</w:t>
            </w:r>
            <w:r>
              <w:t xml:space="preserve"> </w:t>
            </w:r>
            <w:r>
              <w:t xml:space="preserve">by social class (5 groups)</w:t>
            </w:r>
          </w:p>
          <w:p>
            <w:pPr>
              <w:pStyle w:val="Compact"/>
              <w:jc w:val="center"/>
            </w:pPr>
            <w:r>
              <w:drawing>
                <wp:inline>
                  <wp:extent cx="4160520" cy="2080260"/>
                  <wp:effectExtent b="0" l="0" r="0" t="0"/>
                  <wp:docPr descr="" title="" id="50" name="Picture"/>
                  <a:graphic>
                    <a:graphicData uri="http://schemas.openxmlformats.org/drawingml/2006/picture">
                      <pic:pic>
                        <pic:nvPicPr>
                          <pic:cNvPr descr="_assets/img/fig_class.png" id="51" name="Picture"/>
                          <pic:cNvPicPr>
                            <a:picLocks noChangeArrowheads="1" noChangeAspect="1"/>
                          </pic:cNvPicPr>
                        </pic:nvPicPr>
                        <pic:blipFill>
                          <a:blip r:embed="rId49"/>
                          <a:stretch>
                            <a:fillRect/>
                          </a:stretch>
                        </pic:blipFill>
                        <pic:spPr bwMode="auto">
                          <a:xfrm>
                            <a:off x="0" y="0"/>
                            <a:ext cx="4160520" cy="2080260"/>
                          </a:xfrm>
                          <a:prstGeom prst="rect">
                            <a:avLst/>
                          </a:prstGeom>
                          <a:noFill/>
                          <a:ln w="9525">
                            <a:noFill/>
                            <a:headEnd/>
                            <a:tailEnd/>
                          </a:ln>
                        </pic:spPr>
                      </pic:pic>
                    </a:graphicData>
                  </a:graphic>
                </wp:inline>
              </w:drawing>
            </w:r>
          </w:p>
          <w:bookmarkEnd w:id="52"/>
        </w:tc>
      </w:tr>
    </w:tbl>
    <w:bookmarkEnd w:id="53"/>
    <w:bookmarkStart w:id="54" w:name="X33c9afebe6aaae6fc22bed255c56d37bc85f7a4"/>
    <w:p>
      <w:pPr>
        <w:pStyle w:val="Heading2"/>
      </w:pPr>
      <w:r>
        <w:t xml:space="preserve">2.4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since 2002.</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interpreted with caution due to the small sample size of respondents who voted in the last European elections. However,</w:t>
      </w:r>
      <w:r>
        <w:t xml:space="preserve"> </w:t>
      </w:r>
      <w:r>
        <w:t xml:space="preserve">Attewell (</w:t>
      </w:r>
      <w:hyperlink w:anchor="ref-attewell_deservingness_2021">
        <w:r>
          <w:rPr>
            <w:rStyle w:val="Hyperlink"/>
          </w:rPr>
          <w:t xml:space="preserve">2021</w:t>
        </w:r>
      </w:hyperlink>
      <w:r>
        <w:t xml:space="preserve">)</w:t>
      </w:r>
      <w:r>
        <w:t xml:space="preserve"> </w:t>
      </w:r>
      <w:r>
        <w:t xml:space="preserve">indicate that this pattern is consistent across most Western European countries, and welfare attitudes are relevant predictors of voting even for parties with focus on non-economic issues such as</w:t>
      </w:r>
      <w:r>
        <w:t xml:space="preserve"> </w:t>
      </w:r>
      <w:r>
        <w:t xml:space="preserve">‘immigration’</w:t>
      </w:r>
      <w:r>
        <w:t xml:space="preserve"> </w:t>
      </w:r>
      <w:r>
        <w:t xml:space="preserve">and EU integration.</w:t>
      </w:r>
    </w:p>
    <w:bookmarkEnd w:id="54"/>
    <w:bookmarkStart w:id="59" w:name="X4d4707aea2f934d0a764e025278ed3c69cec412"/>
    <w:p>
      <w:pPr>
        <w:pStyle w:val="Heading2"/>
      </w:pPr>
      <w:r>
        <w:t xml:space="preserve">2.5 Age, gender and social class are relevant even controlling for economic activity and financial situation</w:t>
      </w:r>
    </w:p>
    <w:p>
      <w:pPr>
        <w:pStyle w:val="FirstParagraph"/>
      </w:pPr>
      <w:r>
        <w:t xml:space="preserve">We created a fixed-effects multivariate regression model to assess the extent to which these individual factors are associated to support for income redistribution, considering all ESS rounds. In addition to these main variables, the model also includes a measurement of the household financial situation. A subjective measurement was chosen (</w:t>
      </w:r>
      <w:r>
        <w:t xml:space="preserve">‘Satisfaction with the household income’</w:t>
      </w:r>
      <w:r>
        <w:t xml:space="preserve">) instead of household income due to the high proportion of missing values in the former. Finally, the model also includes the following control variables: economic activity (</w:t>
      </w:r>
      <w:r>
        <w:t xml:space="preserve">‘Main activity in the last seven days’</w:t>
      </w:r>
      <w:r>
        <w:t xml:space="preserve">), educational attainment,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coefficients of the logistic regression model that identifies significant differences across groups. In terms of age, an additional year is expected to be associated with higher likelihood of agreement with redistribution, which is the opposite relationship found for the latest round in 2023. In addition, both the social class and subjective income suggest that respondents in more precarious economic situation are more likely to be favourable of the government reducing income differences.</w:t>
      </w:r>
    </w:p>
    <w:p>
      <w:pPr>
        <w:pStyle w:val="BodyText"/>
      </w:pPr>
      <w:r>
        <w:t xml:space="preserve">Finally, 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58" w:name="tbl-multiv-gincdif"/>
          <w:p>
            <w:pPr>
              <w:jc w:val="center"/>
            </w:pPr>
            <w:pPr>
              <w:jc w:val="start"/>
              <w:spacing w:before="200"/>
              <w:pStyle w:val="ImageCaption"/>
            </w:pPr>
            <w:r>
              <w:t xml:space="preserve">Table 1: Logit regression coefficients (odds-ratio) for</w:t>
            </w:r>
            <w:r>
              <w:t xml:space="preserve"> </w:t>
            </w:r>
            <w:r>
              <w:t xml:space="preserve">‘income differences’</w:t>
            </w:r>
          </w:p>
          <w:p>
            <w:pPr>
              <w:jc w:val="center"/>
            </w:pPr>
            <w:r>
              <w:drawing>
                <wp:inline>
                  <wp:extent cx="4160520" cy="4181532"/>
                  <wp:effectExtent b="0" l="0" r="0" t="0"/>
                  <wp:docPr descr="" title="" id="56" name="Picture"/>
                  <a:graphic>
                    <a:graphicData uri="http://schemas.openxmlformats.org/drawingml/2006/picture">
                      <pic:pic>
                        <pic:nvPicPr>
                          <pic:cNvPr descr="_assets/img/tbl_multiv_gincdif.png" id="57" name="Picture"/>
                          <pic:cNvPicPr>
                            <a:picLocks noChangeArrowheads="1" noChangeAspect="1"/>
                          </pic:cNvPicPr>
                        </pic:nvPicPr>
                        <pic:blipFill>
                          <a:blip r:embed="rId55"/>
                          <a:stretch>
                            <a:fillRect/>
                          </a:stretch>
                        </pic:blipFill>
                        <pic:spPr bwMode="auto">
                          <a:xfrm>
                            <a:off x="0" y="0"/>
                            <a:ext cx="4160520" cy="4181532"/>
                          </a:xfrm>
                          <a:prstGeom prst="rect">
                            <a:avLst/>
                          </a:prstGeom>
                          <a:noFill/>
                          <a:ln w="9525">
                            <a:noFill/>
                            <a:headEnd/>
                            <a:tailEnd/>
                          </a:ln>
                        </pic:spPr>
                      </pic:pic>
                    </a:graphicData>
                  </a:graphic>
                </wp:inline>
              </w:drawing>
            </w:r>
          </w:p>
          <w:bookmarkEnd w:id="58"/>
        </w:tc>
      </w:tr>
    </w:tbl>
    <w:p>
      <w:pPr>
        <w:pStyle w:val="BodyText"/>
      </w:pPr>
      <w:r>
        <w:t xml:space="preserve">Overall, the examination of individual factors associated with support for income redistribution in Ireland goes in the same direction of the literature pointing out the role of material interests (financial situation) and perspectives of upward mobility (social class)</w:t>
      </w:r>
      <w:r>
        <w:t xml:space="preserve"> </w:t>
      </w:r>
      <w:r>
        <w:t xml:space="preserve">Bonnet et al. (</w:t>
      </w:r>
      <w:hyperlink w:anchor="ref-bonnet_what_2024">
        <w:r>
          <w:rPr>
            <w:rStyle w:val="Hyperlink"/>
          </w:rPr>
          <w:t xml:space="preserve">2024</w:t>
        </w:r>
      </w:hyperlink>
      <w:r>
        <w:t xml:space="preserve">)</w:t>
      </w:r>
      <w:r>
        <w:t xml:space="preserve">.</w:t>
      </w:r>
    </w:p>
    <w:bookmarkEnd w:id="59"/>
    <w:bookmarkEnd w:id="60"/>
    <w:bookmarkStart w:id="89" w:name="sec-what"/>
    <w:p>
      <w:pPr>
        <w:pStyle w:val="Heading1"/>
      </w:pPr>
      <w:r>
        <w:t xml:space="preserve">3. What people think about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rounds of data collection contain additional questions on beliefs about welfare, social benefits and their beneficiaries.</w:t>
      </w:r>
    </w:p>
    <w:bookmarkStart w:id="61"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and meritocracy are also relevant to understand overall support to welfare policies.</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61"/>
    <w:bookmarkStart w:id="66" w:name="Xd328aa382c21e628fa77d9eaf8cfa17f26a2608"/>
    <w:p>
      <w:pPr>
        <w:pStyle w:val="Heading2"/>
      </w:pPr>
      <w:r>
        <w:t xml:space="preserve">3.2 The government should have more responsibility towards old citizens and working parents compared to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7</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65" w:name="fig-deservingness"/>
          <w:p>
            <w:pPr>
              <w:jc w:val="center"/>
            </w:pPr>
            <w:pPr>
              <w:jc w:val="start"/>
              <w:spacing w:before="200"/>
              <w:pStyle w:val="ImageCaption"/>
            </w:pPr>
            <w:r>
              <w:t xml:space="preserve">Figure 7: Mean values for deservingness of government support by group and country, 2016</w:t>
            </w:r>
          </w:p>
          <w:p>
            <w:pPr>
              <w:pStyle w:val="Compact"/>
              <w:jc w:val="center"/>
            </w:pPr>
            <w:r>
              <w:drawing>
                <wp:inline>
                  <wp:extent cx="4160520" cy="4853940"/>
                  <wp:effectExtent b="0" l="0" r="0" t="0"/>
                  <wp:docPr descr="" title="" id="63" name="Picture"/>
                  <a:graphic>
                    <a:graphicData uri="http://schemas.openxmlformats.org/drawingml/2006/picture">
                      <pic:pic>
                        <pic:nvPicPr>
                          <pic:cNvPr descr="_assets/img/fig_deservingness.png" id="64" name="Picture"/>
                          <pic:cNvPicPr>
                            <a:picLocks noChangeArrowheads="1" noChangeAspect="1"/>
                          </pic:cNvPicPr>
                        </pic:nvPicPr>
                        <pic:blipFill>
                          <a:blip r:embed="rId62"/>
                          <a:stretch>
                            <a:fillRect/>
                          </a:stretch>
                        </pic:blipFill>
                        <pic:spPr bwMode="auto">
                          <a:xfrm>
                            <a:off x="0" y="0"/>
                            <a:ext cx="4160520" cy="4853940"/>
                          </a:xfrm>
                          <a:prstGeom prst="rect">
                            <a:avLst/>
                          </a:prstGeom>
                          <a:noFill/>
                          <a:ln w="9525">
                            <a:noFill/>
                            <a:headEnd/>
                            <a:tailEnd/>
                          </a:ln>
                        </pic:spPr>
                      </pic:pic>
                    </a:graphicData>
                  </a:graphic>
                </wp:inline>
              </w:drawing>
            </w:r>
          </w:p>
          <w:bookmarkEnd w:id="65"/>
        </w:tc>
      </w:tr>
    </w:tbl>
    <w:p>
      <w:pPr>
        <w:pStyle w:val="BodyText"/>
      </w:pPr>
      <w:r>
        <w:t xml:space="preserve">In Ireland, a greater prioritisation of the older over the unemployed is found mainly among respondents who are female, in paid work, and with lower level of educational attainment.</w:t>
      </w:r>
    </w:p>
    <w:bookmarkEnd w:id="66"/>
    <w:bookmarkStart w:id="77" w:name="X0b2fd02be326c10970e572141db0496f02cdc85"/>
    <w:p>
      <w:pPr>
        <w:pStyle w:val="Heading2"/>
      </w:pPr>
      <w:r>
        <w:t xml:space="preserve">3.3 The view that</w:t>
      </w:r>
      <w:r>
        <w:t xml:space="preserve"> </w:t>
      </w:r>
      <w:r>
        <w:t xml:space="preserve">‘Social benefits make people lazy’</w:t>
      </w:r>
      <w:r>
        <w:t xml:space="preserve"> </w:t>
      </w:r>
      <w:r>
        <w:t xml:space="preserve">is more prevalent in Ireland compared to the European average</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“…cost businesses too much in taxes/charges?”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observed a significant reduction in the level of agreement, as shown in</w:t>
      </w:r>
      <w:r>
        <w:t xml:space="preserve"> </w:t>
      </w:r>
      <w:hyperlink w:anchor="fig-benefits">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fig-benefits"/>
          <w:p>
            <w:pPr>
              <w:jc w:val="center"/>
            </w:pPr>
            <w:pPr>
              <w:jc w:val="start"/>
              <w:spacing w:before="200"/>
              <w:pStyle w:val="ImageCaption"/>
            </w:pPr>
            <w:r>
              <w:t xml:space="preserve">Figure 8: Proportion of respondents who agree with statements about social benefits by round</w:t>
            </w:r>
          </w:p>
          <w:p>
            <w:pPr>
              <w:pStyle w:val="Compact"/>
              <w:jc w:val="center"/>
            </w:pPr>
            <w:r>
              <w:drawing>
                <wp:inline>
                  <wp:extent cx="4160520" cy="2080260"/>
                  <wp:effectExtent b="0" l="0" r="0" t="0"/>
                  <wp:docPr descr="" title="" id="70" name="Picture"/>
                  <a:graphic>
                    <a:graphicData uri="http://schemas.openxmlformats.org/drawingml/2006/picture">
                      <pic:pic>
                        <pic:nvPicPr>
                          <pic:cNvPr descr="_assets/img/fig_benefits.png" id="71" name="Picture"/>
                          <pic:cNvPicPr>
                            <a:picLocks noChangeArrowheads="1" noChangeAspect="1"/>
                          </pic:cNvPicPr>
                        </pic:nvPicPr>
                        <pic:blipFill>
                          <a:blip r:embed="rId69"/>
                          <a:stretch>
                            <a:fillRect/>
                          </a:stretch>
                        </pic:blipFill>
                        <pic:spPr bwMode="auto">
                          <a:xfrm>
                            <a:off x="0" y="0"/>
                            <a:ext cx="4160520" cy="2080260"/>
                          </a:xfrm>
                          <a:prstGeom prst="rect">
                            <a:avLst/>
                          </a:prstGeom>
                          <a:noFill/>
                          <a:ln w="9525">
                            <a:noFill/>
                            <a:headEnd/>
                            <a:tailEnd/>
                          </a:ln>
                        </pic:spPr>
                      </pic:pic>
                    </a:graphicData>
                  </a:graphic>
                </wp:inline>
              </w:drawing>
            </w:r>
          </w:p>
          <w:bookmarkEnd w:id="72"/>
        </w:tc>
      </w:tr>
    </w:tbl>
    <w:p>
      <w:pPr>
        <w:pStyle w:val="BodyText"/>
      </w:pPr>
      <w:r>
        <w:t xml:space="preserve">Despite the reduction from 2009 to 2016, as shown in</w:t>
      </w:r>
      <w:r>
        <w:t xml:space="preserve"> </w:t>
      </w:r>
      <w:hyperlink w:anchor="fig-lazy">
        <w:r>
          <w:rPr>
            <w:rStyle w:val="Hyperlink"/>
          </w:rPr>
          <w:t xml:space="preserve">Figure 9</w:t>
        </w:r>
      </w:hyperlink>
      <w:r>
        <w:t xml:space="preserve">, Ireland (58%) had the third highest proportion of respondents agreeing that</w:t>
      </w:r>
      <w:r>
        <w:t xml:space="preserve"> </w:t>
      </w:r>
      <w:r>
        <w:t xml:space="preserve">“social benefits make people lazy”</w:t>
      </w:r>
      <w:r>
        <w:t xml:space="preserve">, behind Portugal (63%) and Poland (60%). This proportion is significantly lower in countries such as Iceland (24%), Sweden (35%), and Germany (43%). Finally, as expected those who believe that</w:t>
      </w:r>
      <w:r>
        <w:t xml:space="preserve"> </w:t>
      </w:r>
      <w:r>
        <w:t xml:space="preserve">“social benefits make people lazy”</w:t>
      </w:r>
      <w:r>
        <w:t xml:space="preserve"> </w:t>
      </w:r>
      <w:r>
        <w:t xml:space="preserve">are also less likely to support income redistribution.</w:t>
      </w:r>
    </w:p>
    <w:tbl>
      <w:tblPr>
        <w:tblStyle w:val="Table"/>
        <w:tblW w:type="pct" w:w="5000"/>
        <w:tblLayout w:type="fixed"/>
        <w:tblLook w:firstRow="0" w:lastRow="0" w:firstColumn="0" w:lastColumn="0" w:noHBand="0" w:noVBand="0" w:val="0000"/>
      </w:tblPr>
      <w:tblGrid>
        <w:gridCol w:w="7920"/>
      </w:tblGrid>
      <w:tr>
        <w:tc>
          <w:tcPr/>
          <w:bookmarkStart w:id="76" w:name="fig-lazy"/>
          <w:p>
            <w:pPr>
              <w:jc w:val="center"/>
            </w:pPr>
            <w:pPr>
              <w:jc w:val="start"/>
              <w:spacing w:before="200"/>
              <w:pStyle w:val="ImageCaption"/>
            </w:pPr>
            <w:r>
              <w:t xml:space="preserve">Figure 9: Proportion of agreement that social benefits make people lazy, Europe, 2016</w:t>
            </w:r>
          </w:p>
          <w:p>
            <w:pPr>
              <w:pStyle w:val="Compact"/>
              <w:jc w:val="center"/>
            </w:pPr>
            <w:r>
              <w:drawing>
                <wp:inline>
                  <wp:extent cx="4160520" cy="3328415"/>
                  <wp:effectExtent b="0" l="0" r="0" t="0"/>
                  <wp:docPr descr="" title="" id="74" name="Picture"/>
                  <a:graphic>
                    <a:graphicData uri="http://schemas.openxmlformats.org/drawingml/2006/picture">
                      <pic:pic>
                        <pic:nvPicPr>
                          <pic:cNvPr descr="_assets/img/fig_lazy.png" id="75" name="Picture"/>
                          <pic:cNvPicPr>
                            <a:picLocks noChangeArrowheads="1" noChangeAspect="1"/>
                          </pic:cNvPicPr>
                        </pic:nvPicPr>
                        <pic:blipFill>
                          <a:blip r:embed="rId73"/>
                          <a:stretch>
                            <a:fillRect/>
                          </a:stretch>
                        </pic:blipFill>
                        <pic:spPr bwMode="auto">
                          <a:xfrm>
                            <a:off x="0" y="0"/>
                            <a:ext cx="4160520" cy="3328415"/>
                          </a:xfrm>
                          <a:prstGeom prst="rect">
                            <a:avLst/>
                          </a:prstGeom>
                          <a:noFill/>
                          <a:ln w="9525">
                            <a:noFill/>
                            <a:headEnd/>
                            <a:tailEnd/>
                          </a:ln>
                        </pic:spPr>
                      </pic:pic>
                    </a:graphicData>
                  </a:graphic>
                </wp:inline>
              </w:drawing>
            </w:r>
          </w:p>
          <w:bookmarkEnd w:id="76"/>
        </w:tc>
      </w:tr>
    </w:tbl>
    <w:bookmarkEnd w:id="77"/>
    <w:bookmarkStart w:id="82" w:name="X6a3b058e7aed4e3cff8a8863e568193119c6650"/>
    <w:p>
      <w:pPr>
        <w:pStyle w:val="Heading2"/>
      </w:pPr>
      <w:r>
        <w:t xml:space="preserve">3.4 Compared to male respondents, female respondents are less likely to agree that social benefits leads to equality</w:t>
      </w:r>
    </w:p>
    <w:p>
      <w:pPr>
        <w:pStyle w:val="FirstParagraph"/>
      </w:pPr>
      <w:r>
        <w:t xml:space="preserve">The</w:t>
      </w:r>
      <w:r>
        <w:t xml:space="preserve"> </w:t>
      </w:r>
      <w:hyperlink w:anchor="tbl-multiv-beliefs">
        <w:r>
          <w:rPr>
            <w:rStyle w:val="Hyperlink"/>
          </w:rPr>
          <w:t xml:space="preserve">Table 2</w:t>
        </w:r>
      </w:hyperlink>
      <w:r>
        <w:t xml:space="preserve"> </w:t>
      </w:r>
      <w:r>
        <w:t xml:space="preserve">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w:t>
      </w:r>
      <w:r>
        <w:t xml:space="preserve"> </w:t>
      </w:r>
      <w:r>
        <w:t xml:space="preserve">‘financial situation’</w:t>
      </w:r>
      <w:r>
        <w:t xml:space="preserve"> </w:t>
      </w:r>
      <w:r>
        <w:t xml:space="preserve">variable, with those who are coping on present income being less likely to agree with the equality statement compared to those living comfortably. Those in worse subjective financial situation (</w:t>
      </w:r>
      <w:r>
        <w:t xml:space="preserve">‘very difficult on present income’</w:t>
      </w:r>
      <w:r>
        <w:t xml:space="preserve">) have higher likelihood of agreeing although this difference is not statistically significant.</w:t>
      </w:r>
    </w:p>
    <w:tbl>
      <w:tblPr>
        <w:tblStyle w:val="Table"/>
        <w:tblW w:type="pct" w:w="5000"/>
        <w:tblLayout w:type="fixed"/>
        <w:tblLook w:firstRow="0" w:lastRow="0" w:firstColumn="0" w:lastColumn="0" w:noHBand="0" w:noVBand="0" w:val="0000"/>
      </w:tblPr>
      <w:tblGrid>
        <w:gridCol w:w="7920"/>
      </w:tblGrid>
      <w:tr>
        <w:tc>
          <w:tcPr/>
          <w:bookmarkStart w:id="81" w:name="tbl-multiv-beliefs"/>
          <w:p>
            <w:pPr>
              <w:jc w:val="center"/>
            </w:pPr>
            <w:pPr>
              <w:jc w:val="start"/>
              <w:spacing w:before="200"/>
              <w:pStyle w:val="ImageCaption"/>
            </w:pPr>
            <w:r>
              <w:t xml:space="preserve">Table 2: Logistic regression estimates for agreement on statements about</w:t>
            </w:r>
            <w:r>
              <w:t xml:space="preserve"> </w:t>
            </w:r>
            <w:r>
              <w:t xml:space="preserve">‘social benefits’</w:t>
            </w:r>
            <w:r>
              <w:t xml:space="preserve">, Ireland, 2016</w:t>
            </w:r>
          </w:p>
          <w:p>
            <w:pPr>
              <w:jc w:val="center"/>
            </w:pPr>
            <w:r>
              <w:drawing>
                <wp:inline>
                  <wp:extent cx="4160520" cy="5074225"/>
                  <wp:effectExtent b="0" l="0" r="0" t="0"/>
                  <wp:docPr descr="" title="" id="79" name="Picture"/>
                  <a:graphic>
                    <a:graphicData uri="http://schemas.openxmlformats.org/drawingml/2006/picture">
                      <pic:pic>
                        <pic:nvPicPr>
                          <pic:cNvPr descr="_assets/img/tbl_multiv_beliefs.png" id="80" name="Picture"/>
                          <pic:cNvPicPr>
                            <a:picLocks noChangeArrowheads="1" noChangeAspect="1"/>
                          </pic:cNvPicPr>
                        </pic:nvPicPr>
                        <pic:blipFill>
                          <a:blip r:embed="rId78"/>
                          <a:stretch>
                            <a:fillRect/>
                          </a:stretch>
                        </pic:blipFill>
                        <pic:spPr bwMode="auto">
                          <a:xfrm>
                            <a:off x="0" y="0"/>
                            <a:ext cx="4160520" cy="5074225"/>
                          </a:xfrm>
                          <a:prstGeom prst="rect">
                            <a:avLst/>
                          </a:prstGeom>
                          <a:noFill/>
                          <a:ln w="9525">
                            <a:noFill/>
                            <a:headEnd/>
                            <a:tailEnd/>
                          </a:ln>
                        </pic:spPr>
                      </pic:pic>
                    </a:graphicData>
                  </a:graphic>
                </wp:inline>
              </w:drawing>
            </w:r>
          </w:p>
          <w:bookmarkEnd w:id="81"/>
        </w:tc>
      </w:tr>
    </w:tbl>
    <w:bookmarkEnd w:id="82"/>
    <w:bookmarkStart w:id="83" w:name="Xa595066d3e4198fdc61757e44206370bca52f45"/>
    <w:p>
      <w:pPr>
        <w:pStyle w:val="Heading2"/>
      </w:pPr>
      <w:r>
        <w:t xml:space="preserve">3.5 Older, right-wing, and those with lower educational attainment are more likely to agree that social benefits make people lazy</w:t>
      </w:r>
    </w:p>
    <w:p>
      <w:pPr>
        <w:pStyle w:val="FirstParagraph"/>
      </w:pPr>
      <w:r>
        <w:t xml:space="preserve">The second model on the</w:t>
      </w:r>
      <w:r>
        <w:t xml:space="preserve"> </w:t>
      </w:r>
      <w:hyperlink w:anchor="tbl-multiv-beliefs">
        <w:r>
          <w:rPr>
            <w:rStyle w:val="Hyperlink"/>
          </w:rPr>
          <w:t xml:space="preserve">Table 2</w:t>
        </w:r>
      </w:hyperlink>
      <w:r>
        <w:t xml:space="preserve"> </w:t>
      </w:r>
      <w:r>
        <w:t xml:space="preserve">provides a different picture in relation to beliefs on social benefits resulting in lazyness. Respondents in the 18-24 age group are more inclined to agree with this statement compared to all older age groups. In addition, those who place themselves more to the right of the left-right ideological scale and those with lower educational attainment tend to agree with this statement that social benefits make people lazy.</w:t>
      </w:r>
    </w:p>
    <w:bookmarkEnd w:id="83"/>
    <w:bookmarkStart w:id="88" w:name="X9ab5f16fee05cf765d2c0fafde191459ec316e9"/>
    <w:p>
      <w:pPr>
        <w:pStyle w:val="Heading2"/>
      </w:pPr>
      <w:r>
        <w:t xml:space="preserve">3.6 Most respondents indicate that immigrants could receive social benefits after having worked and paid taxes for at least one year</w:t>
      </w:r>
    </w:p>
    <w:p>
      <w:pPr>
        <w:pStyle w:val="FirstParagraph"/>
      </w:pPr>
      <w:r>
        <w:t xml:space="preserve">Overall, data from 2016 indicates that about half of respondents in Ireland believe that immigrants should obtain rights to social benefits/services</w:t>
      </w:r>
      <w:r>
        <w:t xml:space="preserve"> </w:t>
      </w:r>
      <w:r>
        <w:t xml:space="preserve">“After worked and paid taxes at least a year”</w:t>
      </w:r>
      <w:r>
        <w:t xml:space="preserve">. The other options that received most answers were</w:t>
      </w:r>
      <w:r>
        <w:t xml:space="preserve"> </w:t>
      </w:r>
      <w:r>
        <w:t xml:space="preserve">“Once they have become a citizen”</w:t>
      </w:r>
      <w:r>
        <w:t xml:space="preserve"> </w:t>
      </w:r>
      <w:r>
        <w:t xml:space="preserve">(19%) and</w:t>
      </w:r>
      <w:r>
        <w:t xml:space="preserve"> </w:t>
      </w:r>
      <w:r>
        <w:t xml:space="preserve">“After a year, whether or not have worked”</w:t>
      </w:r>
      <w:r>
        <w:t xml:space="preserve"> </w:t>
      </w:r>
      <w:r>
        <w:t xml:space="preserve">(16%).</w:t>
      </w:r>
    </w:p>
    <w:p>
      <w:pPr>
        <w:pStyle w:val="BodyText"/>
      </w:pPr>
      <w:r>
        <w:t xml:space="preserve">As shown in</w:t>
      </w:r>
      <w:r>
        <w:t xml:space="preserve"> </w:t>
      </w:r>
      <w:hyperlink w:anchor="fig-immig">
        <w:r>
          <w:rPr>
            <w:rStyle w:val="Hyperlink"/>
          </w:rPr>
          <w:t xml:space="preserve">Figure 10</w:t>
        </w:r>
      </w:hyperlink>
      <w:r>
        <w:t xml:space="preserve">, only 5% in 2016 indicated that</w:t>
      </w:r>
      <w:r>
        <w:t xml:space="preserve"> </w:t>
      </w:r>
      <w:r>
        <w:t xml:space="preserve">“They should never get the same rights”</w:t>
      </w:r>
      <w:r>
        <w:t xml:space="preserve">. This proportion is significantly higher in countries such as Hungary (30%) and Czechia (24%). In Ireland, this proportion is also higher for those in worse financial situation (19%) and among those who are unemployed and not looking for job (18%).</w:t>
      </w:r>
    </w:p>
    <w:tbl>
      <w:tblPr>
        <w:tblStyle w:val="Table"/>
        <w:tblW w:type="pct" w:w="5000"/>
        <w:tblLayout w:type="fixed"/>
        <w:tblLook w:firstRow="0" w:lastRow="0" w:firstColumn="0" w:lastColumn="0" w:noHBand="0" w:noVBand="0" w:val="0000"/>
      </w:tblPr>
      <w:tblGrid>
        <w:gridCol w:w="7920"/>
      </w:tblGrid>
      <w:tr>
        <w:tc>
          <w:tcPr/>
          <w:bookmarkStart w:id="87" w:name="fig-immig"/>
          <w:p>
            <w:pPr>
              <w:jc w:val="center"/>
            </w:pPr>
            <w:pPr>
              <w:jc w:val="start"/>
              <w:spacing w:before="200"/>
              <w:pStyle w:val="ImageCaption"/>
            </w:pPr>
            <w:r>
              <w:t xml:space="preserve">Figure 10: Distribution for</w:t>
            </w:r>
            <w:r>
              <w:t xml:space="preserve"> </w:t>
            </w:r>
            <w:r>
              <w:t xml:space="preserve">‘When should immigrants obtain rights to social benefits/services’</w:t>
            </w:r>
            <w:r>
              <w:t xml:space="preserve">, Ireland, 2016</w:t>
            </w:r>
          </w:p>
          <w:p>
            <w:pPr>
              <w:pStyle w:val="Compact"/>
              <w:jc w:val="center"/>
            </w:pPr>
            <w:r>
              <w:drawing>
                <wp:inline>
                  <wp:extent cx="4160520" cy="2080260"/>
                  <wp:effectExtent b="0" l="0" r="0" t="0"/>
                  <wp:docPr descr="" title="" id="85" name="Picture"/>
                  <a:graphic>
                    <a:graphicData uri="http://schemas.openxmlformats.org/drawingml/2006/picture">
                      <pic:pic>
                        <pic:nvPicPr>
                          <pic:cNvPr descr="_assets/img/fig_immig.png" id="86" name="Picture"/>
                          <pic:cNvPicPr>
                            <a:picLocks noChangeArrowheads="1" noChangeAspect="1"/>
                          </pic:cNvPicPr>
                        </pic:nvPicPr>
                        <pic:blipFill>
                          <a:blip r:embed="rId84"/>
                          <a:stretch>
                            <a:fillRect/>
                          </a:stretch>
                        </pic:blipFill>
                        <pic:spPr bwMode="auto">
                          <a:xfrm>
                            <a:off x="0" y="0"/>
                            <a:ext cx="4160520" cy="2080260"/>
                          </a:xfrm>
                          <a:prstGeom prst="rect">
                            <a:avLst/>
                          </a:prstGeom>
                          <a:noFill/>
                          <a:ln w="9525">
                            <a:noFill/>
                            <a:headEnd/>
                            <a:tailEnd/>
                          </a:ln>
                        </pic:spPr>
                      </pic:pic>
                    </a:graphicData>
                  </a:graphic>
                </wp:inline>
              </w:drawing>
            </w:r>
          </w:p>
          <w:bookmarkEnd w:id="87"/>
        </w:tc>
      </w:tr>
    </w:tbl>
    <w:bookmarkEnd w:id="88"/>
    <w:bookmarkEnd w:id="89"/>
    <w:bookmarkStart w:id="119" w:name="sec-change"/>
    <w:p>
      <w:pPr>
        <w:pStyle w:val="Heading1"/>
      </w:pPr>
      <w:r>
        <w:t xml:space="preserve">4. Has the support changed over time?</w:t>
      </w:r>
    </w:p>
    <w:p>
      <w:pPr>
        <w:pStyle w:val="FirstParagraph"/>
      </w:pPr>
      <w:r>
        <w:t xml:space="preserve">The</w:t>
      </w:r>
      <w:r>
        <w:t xml:space="preserve"> </w:t>
      </w:r>
      <w:hyperlink w:anchor="fig-eu-time">
        <w:r>
          <w:rPr>
            <w:rStyle w:val="Hyperlink"/>
          </w:rPr>
          <w:t xml:space="preserve">Figure 11</w:t>
        </w:r>
      </w:hyperlink>
      <w:r>
        <w:t xml:space="preserve"> </w:t>
      </w:r>
      <w:r>
        <w:t xml:space="preserve">below shows the proportion of respondents in Ireland who agree that</w:t>
      </w:r>
      <w:r>
        <w:t xml:space="preserve"> </w:t>
      </w:r>
      <w:r>
        <w:t xml:space="preserve">‘Government should reduce income differences’</w:t>
      </w:r>
      <w:r>
        <w:t xml:space="preserve"> </w:t>
      </w:r>
      <w:r>
        <w:t xml:space="preserve">by year of the start of the survey. Overall there is a stable agreement (70)%.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93" w:name="fig-eu-time"/>
          <w:p>
            <w:pPr>
              <w:jc w:val="center"/>
            </w:pPr>
            <w:pPr>
              <w:jc w:val="start"/>
              <w:spacing w:before="200"/>
              <w:pStyle w:val="ImageCaption"/>
            </w:pPr>
            <w:r>
              <w:t xml:space="preserve">Figure 11: Proportion agreeing that the</w:t>
            </w:r>
            <w:r>
              <w:t xml:space="preserve"> </w:t>
            </w:r>
            <w:r>
              <w:t xml:space="preserve">‘Government should reduce income differences’</w:t>
            </w:r>
            <w:r>
              <w:t xml:space="preserve"> </w:t>
            </w:r>
            <w:r>
              <w:t xml:space="preserve">by round</w:t>
            </w:r>
          </w:p>
          <w:p>
            <w:pPr>
              <w:pStyle w:val="Compact"/>
              <w:jc w:val="center"/>
            </w:pPr>
            <w:r>
              <w:drawing>
                <wp:inline>
                  <wp:extent cx="4160520" cy="2971800"/>
                  <wp:effectExtent b="0" l="0" r="0" t="0"/>
                  <wp:docPr descr="" title="" id="91" name="Picture"/>
                  <a:graphic>
                    <a:graphicData uri="http://schemas.openxmlformats.org/drawingml/2006/picture">
                      <pic:pic>
                        <pic:nvPicPr>
                          <pic:cNvPr descr="_assets/img/fig_eutime.png" id="92" name="Picture"/>
                          <pic:cNvPicPr>
                            <a:picLocks noChangeArrowheads="1" noChangeAspect="1"/>
                          </pic:cNvPicPr>
                        </pic:nvPicPr>
                        <pic:blipFill>
                          <a:blip r:embed="rId90"/>
                          <a:stretch>
                            <a:fillRect/>
                          </a:stretch>
                        </pic:blipFill>
                        <pic:spPr bwMode="auto">
                          <a:xfrm>
                            <a:off x="0" y="0"/>
                            <a:ext cx="4160520" cy="2971800"/>
                          </a:xfrm>
                          <a:prstGeom prst="rect">
                            <a:avLst/>
                          </a:prstGeom>
                          <a:noFill/>
                          <a:ln w="9525">
                            <a:noFill/>
                            <a:headEnd/>
                            <a:tailEnd/>
                          </a:ln>
                        </pic:spPr>
                      </pic:pic>
                    </a:graphicData>
                  </a:graphic>
                </wp:inline>
              </w:drawing>
            </w:r>
          </w:p>
          <w:bookmarkEnd w:id="93"/>
        </w:tc>
      </w:tr>
    </w:tbl>
    <w:bookmarkStart w:id="98" w:name="age"/>
    <w:p>
      <w:pPr>
        <w:pStyle w:val="Heading2"/>
      </w:pPr>
      <w:r>
        <w:t xml:space="preserve">4.1 Age</w:t>
      </w:r>
    </w:p>
    <w:p>
      <w:pPr>
        <w:pStyle w:val="FirstParagraph"/>
      </w:pPr>
      <w:r>
        <w:t xml:space="preserve">The relationship between age and the response variable seems to change across rounds. As discussed in</w:t>
      </w:r>
      <w:r>
        <w:t xml:space="preserve"> </w:t>
      </w:r>
      <w:hyperlink w:anchor="sec-who">
        <w:r>
          <w:rPr>
            <w:rStyle w:val="Hyperlink"/>
          </w:rPr>
          <w:t xml:space="preserve">Section 2</w:t>
        </w:r>
      </w:hyperlink>
      <w:r>
        <w:t xml:space="preserve">, the multivariate regression model indicates that, considering all rounds, older respondents support more the government reducing income differences. However, the average support by age observed in the latest round (11) seem to indicate the opposite (see</w:t>
      </w:r>
      <w:r>
        <w:t xml:space="preserve"> </w:t>
      </w:r>
      <w:hyperlink w:anchor="fig-age-round">
        <w:r>
          <w:rPr>
            <w:rStyle w:val="Hyperlink"/>
          </w:rPr>
          <w:t xml:space="preserve">Figure 5</w:t>
        </w:r>
      </w:hyperlink>
      <w:r>
        <w:t xml:space="preserve"> </w:t>
      </w:r>
      <w:r>
        <w:t xml:space="preserve">in</w:t>
      </w:r>
      <w:r>
        <w:t xml:space="preserve"> </w:t>
      </w:r>
      <w:hyperlink w:anchor="sec-who">
        <w:r>
          <w:rPr>
            <w:rStyle w:val="Hyperlink"/>
          </w:rPr>
          <w:t xml:space="preserve">Section 2</w:t>
        </w:r>
      </w:hyperlink>
      <w:r>
        <w:t xml:space="preserve">).</w:t>
      </w:r>
    </w:p>
    <w:p>
      <w:pPr>
        <w:pStyle w:val="BodyText"/>
      </w:pPr>
      <w:r>
        <w:t xml:space="preserve">The</w:t>
      </w:r>
      <w:r>
        <w:t xml:space="preserve"> </w:t>
      </w:r>
      <w:hyperlink w:anchor="fig-ess-cohort">
        <w:r>
          <w:rPr>
            <w:rStyle w:val="Hyperlink"/>
          </w:rPr>
          <w:t xml:space="preserve">Figure 12</w:t>
        </w:r>
      </w:hyperlink>
      <w:r>
        <w:t xml:space="preserve"> </w:t>
      </w:r>
      <w:r>
        <w:t xml:space="preserve">below shows the support for redistribution across respondents grouped according to their birth year (pseudo-cohort). The younger cohort (respondents born after 1980) had overall lower support compared to the other cohorts until ESS Round 8, administered in 2016. From this round onwards, this younger group presented significantly higher support for redistribution compared to the older groups.</w:t>
      </w:r>
    </w:p>
    <w:tbl>
      <w:tblPr>
        <w:tblStyle w:val="Table"/>
        <w:tblW w:type="pct" w:w="5000"/>
        <w:tblLayout w:type="fixed"/>
        <w:tblLook w:firstRow="0" w:lastRow="0" w:firstColumn="0" w:lastColumn="0" w:noHBand="0" w:noVBand="0" w:val="0000"/>
      </w:tblPr>
      <w:tblGrid>
        <w:gridCol w:w="7920"/>
      </w:tblGrid>
      <w:tr>
        <w:tc>
          <w:tcPr/>
          <w:bookmarkStart w:id="97" w:name="fig-ess-cohort"/>
          <w:p>
            <w:pPr>
              <w:jc w:val="center"/>
            </w:pPr>
            <w:pPr>
              <w:jc w:val="start"/>
              <w:spacing w:before="200"/>
              <w:pStyle w:val="ImageCaption"/>
            </w:pPr>
            <w:r>
              <w:t xml:space="preserve">Figure 12: Support for redistribution by pseudo-cohort and round</w:t>
            </w:r>
          </w:p>
          <w:p>
            <w:pPr>
              <w:pStyle w:val="Compact"/>
              <w:jc w:val="center"/>
            </w:pPr>
            <w:r>
              <w:drawing>
                <wp:inline>
                  <wp:extent cx="4160520" cy="2971800"/>
                  <wp:effectExtent b="0" l="0" r="0" t="0"/>
                  <wp:docPr descr="" title="" id="95" name="Picture"/>
                  <a:graphic>
                    <a:graphicData uri="http://schemas.openxmlformats.org/drawingml/2006/picture">
                      <pic:pic>
                        <pic:nvPicPr>
                          <pic:cNvPr descr="_assets/img/fig_cohort.png" id="96" name="Picture"/>
                          <pic:cNvPicPr>
                            <a:picLocks noChangeArrowheads="1" noChangeAspect="1"/>
                          </pic:cNvPicPr>
                        </pic:nvPicPr>
                        <pic:blipFill>
                          <a:blip r:embed="rId94"/>
                          <a:stretch>
                            <a:fillRect/>
                          </a:stretch>
                        </pic:blipFill>
                        <pic:spPr bwMode="auto">
                          <a:xfrm>
                            <a:off x="0" y="0"/>
                            <a:ext cx="4160520" cy="2971800"/>
                          </a:xfrm>
                          <a:prstGeom prst="rect">
                            <a:avLst/>
                          </a:prstGeom>
                          <a:noFill/>
                          <a:ln w="9525">
                            <a:noFill/>
                            <a:headEnd/>
                            <a:tailEnd/>
                          </a:ln>
                        </pic:spPr>
                      </pic:pic>
                    </a:graphicData>
                  </a:graphic>
                </wp:inline>
              </w:drawing>
            </w:r>
          </w:p>
          <w:bookmarkEnd w:id="97"/>
        </w:tc>
      </w:tr>
    </w:tbl>
    <w:bookmarkEnd w:id="98"/>
    <w:bookmarkStart w:id="99" w:name="recession-and-covid19"/>
    <w:p>
      <w:pPr>
        <w:pStyle w:val="Heading2"/>
      </w:pPr>
      <w:r>
        <w:t xml:space="preserve">4.2 Recession and Covid19</w:t>
      </w:r>
    </w:p>
    <w:p>
      <w:pPr>
        <w:pStyle w:val="FirstParagraph"/>
      </w:pPr>
      <w:r>
        <w:t xml:space="preserve">As shown in</w:t>
      </w:r>
      <w:r>
        <w:t xml:space="preserve"> </w:t>
      </w:r>
      <w:r>
        <w:rPr>
          <w:b/>
          <w:bCs/>
        </w:rPr>
        <w:t xml:space="preserve">?@fig-time-ess</w:t>
      </w:r>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End w:id="99"/>
    <w:bookmarkStart w:id="112" w:name="time-series"/>
    <w:p>
      <w:pPr>
        <w:pStyle w:val="Heading2"/>
      </w:pPr>
      <w:r>
        <w:t xml:space="preserve">4.3 Time series</w:t>
      </w:r>
    </w:p>
    <w:p>
      <w:pPr>
        <w:pStyle w:val="FirstParagraph"/>
      </w:pPr>
      <w:hyperlink w:anchor="tbl-multiv-gincdif">
        <w:r>
          <w:rPr>
            <w:rStyle w:val="Hyperlink"/>
          </w:rPr>
          <w:t xml:space="preserve">Table 1</w:t>
        </w:r>
      </w:hyperlink>
      <w:r>
        <w:t xml:space="preserve"> </w:t>
      </w:r>
      <w:r>
        <w:t xml:space="preserve">suggests that both social class and feeling about household income are significant predictors of support for redistribution.</w:t>
      </w:r>
      <w:r>
        <w:t xml:space="preserve"> </w:t>
      </w:r>
      <w:r>
        <w:rPr>
          <w:b/>
          <w:bCs/>
        </w:rPr>
        <w:t xml:space="preserve">?@fig-time-hincfel</w:t>
      </w:r>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103" w:name="fig-time-hincfel-1"/>
          <w:p>
            <w:pPr>
              <w:jc w:val="center"/>
            </w:pPr>
            <w:pPr>
              <w:jc w:val="start"/>
              <w:spacing w:before="200"/>
              <w:pStyle w:val="ImageCaption"/>
            </w:pPr>
            <w:r>
              <w:t xml:space="preserve">Figure 13: Average support for redistribution by financial situation (2002-2022)</w:t>
            </w:r>
          </w:p>
          <w:p>
            <w:pPr>
              <w:pStyle w:val="Compact"/>
              <w:jc w:val="center"/>
            </w:pPr>
            <w:r>
              <w:drawing>
                <wp:inline>
                  <wp:extent cx="4160520" cy="3328416"/>
                  <wp:effectExtent b="0" l="0" r="0" t="0"/>
                  <wp:docPr descr="" title="" id="101" name="Picture"/>
                  <a:graphic>
                    <a:graphicData uri="http://schemas.openxmlformats.org/drawingml/2006/picture">
                      <pic:pic>
                        <pic:nvPicPr>
                          <pic:cNvPr descr="report_files/figure-docx/fig-time-hincfel-1.png" id="102" name="Picture"/>
                          <pic:cNvPicPr>
                            <a:picLocks noChangeArrowheads="1" noChangeAspect="1"/>
                          </pic:cNvPicPr>
                        </pic:nvPicPr>
                        <pic:blipFill>
                          <a:blip r:embed="rId100"/>
                          <a:stretch>
                            <a:fillRect/>
                          </a:stretch>
                        </pic:blipFill>
                        <pic:spPr bwMode="auto">
                          <a:xfrm>
                            <a:off x="0" y="0"/>
                            <a:ext cx="4160520" cy="3328416"/>
                          </a:xfrm>
                          <a:prstGeom prst="rect">
                            <a:avLst/>
                          </a:prstGeom>
                          <a:noFill/>
                          <a:ln w="9525">
                            <a:noFill/>
                            <a:headEnd/>
                            <a:tailEnd/>
                          </a:ln>
                        </pic:spPr>
                      </pic:pic>
                    </a:graphicData>
                  </a:graphic>
                </wp:inline>
              </w:drawing>
            </w:r>
          </w:p>
          <w:bookmarkEnd w:id="103"/>
        </w:tc>
      </w:tr>
    </w:tbl>
    <w:tbl>
      <w:tblPr>
        <w:tblStyle w:val="Table"/>
        <w:tblW w:type="pct" w:w="5000"/>
        <w:tblLayout w:type="fixed"/>
        <w:tblLook w:firstRow="0" w:lastRow="0" w:firstColumn="0" w:lastColumn="0" w:noHBand="0" w:noVBand="0" w:val="0000"/>
      </w:tblPr>
      <w:tblGrid>
        <w:gridCol w:w="7920"/>
      </w:tblGrid>
      <w:tr>
        <w:tc>
          <w:tcPr/>
          <w:bookmarkStart w:id="107" w:name="fig-time-hincfel-2"/>
          <w:p>
            <w:pPr>
              <w:jc w:val="center"/>
            </w:pPr>
            <w:pPr>
              <w:jc w:val="start"/>
              <w:spacing w:before="200"/>
              <w:pStyle w:val="ImageCaption"/>
            </w:pPr>
            <w:r>
              <w:t xml:space="preserve">Figure 14: Average support for redistribution by financial situation (2002-2022)</w:t>
            </w:r>
          </w:p>
          <w:p>
            <w:pPr>
              <w:pStyle w:val="Compact"/>
              <w:jc w:val="center"/>
            </w:pPr>
            <w:r>
              <w:drawing>
                <wp:inline>
                  <wp:extent cx="4160520" cy="2971800"/>
                  <wp:effectExtent b="0" l="0" r="0" t="0"/>
                  <wp:docPr descr="" title="" id="105" name="Picture"/>
                  <a:graphic>
                    <a:graphicData uri="http://schemas.openxmlformats.org/drawingml/2006/picture">
                      <pic:pic>
                        <pic:nvPicPr>
                          <pic:cNvPr descr="_assets/img/fig_timeclass.png" id="106" name="Picture"/>
                          <pic:cNvPicPr>
                            <a:picLocks noChangeArrowheads="1" noChangeAspect="1"/>
                          </pic:cNvPicPr>
                        </pic:nvPicPr>
                        <pic:blipFill>
                          <a:blip r:embed="rId104"/>
                          <a:stretch>
                            <a:fillRect/>
                          </a:stretch>
                        </pic:blipFill>
                        <pic:spPr bwMode="auto">
                          <a:xfrm>
                            <a:off x="0" y="0"/>
                            <a:ext cx="4160520" cy="2971800"/>
                          </a:xfrm>
                          <a:prstGeom prst="rect">
                            <a:avLst/>
                          </a:prstGeom>
                          <a:noFill/>
                          <a:ln w="9525">
                            <a:noFill/>
                            <a:headEnd/>
                            <a:tailEnd/>
                          </a:ln>
                        </pic:spPr>
                      </pic:pic>
                    </a:graphicData>
                  </a:graphic>
                </wp:inline>
              </w:drawing>
            </w:r>
          </w:p>
          <w:bookmarkEnd w:id="107"/>
        </w:tc>
      </w:tr>
    </w:tbl>
    <w:p>
      <w:pPr>
        <w:pStyle w:val="BodyText"/>
      </w:pPr>
      <w:r>
        <w:t xml:space="preserve">Conversely, the</w:t>
      </w:r>
      <w:r>
        <w:t xml:space="preserve"> </w:t>
      </w:r>
      <w:hyperlink w:anchor="fig-time-class">
        <w:r>
          <w:rPr>
            <w:rStyle w:val="Hyperlink"/>
          </w:rPr>
          <w:t xml:space="preserve">Figure 15</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111" w:name="fig-time-class"/>
          <w:p>
            <w:pPr>
              <w:jc w:val="center"/>
            </w:pPr>
            <w:pPr>
              <w:jc w:val="start"/>
              <w:spacing w:before="200"/>
              <w:pStyle w:val="ImageCaption"/>
            </w:pPr>
            <w:r>
              <w:t xml:space="preserve">Figure 15: Average support for redistribution by social class (2002-2022)</w:t>
            </w:r>
          </w:p>
          <w:p>
            <w:pPr>
              <w:pStyle w:val="Compact"/>
              <w:jc w:val="center"/>
            </w:pPr>
            <w:r>
              <w:drawing>
                <wp:inline>
                  <wp:extent cx="4160520" cy="3328416"/>
                  <wp:effectExtent b="0" l="0" r="0" t="0"/>
                  <wp:docPr descr="" title="" id="109" name="Picture"/>
                  <a:graphic>
                    <a:graphicData uri="http://schemas.openxmlformats.org/drawingml/2006/picture">
                      <pic:pic>
                        <pic:nvPicPr>
                          <pic:cNvPr descr="report_files/figure-docx/fig-time-class-1.png" id="110" name="Picture"/>
                          <pic:cNvPicPr>
                            <a:picLocks noChangeArrowheads="1" noChangeAspect="1"/>
                          </pic:cNvPicPr>
                        </pic:nvPicPr>
                        <pic:blipFill>
                          <a:blip r:embed="rId108"/>
                          <a:stretch>
                            <a:fillRect/>
                          </a:stretch>
                        </pic:blipFill>
                        <pic:spPr bwMode="auto">
                          <a:xfrm>
                            <a:off x="0" y="0"/>
                            <a:ext cx="4160520" cy="3328416"/>
                          </a:xfrm>
                          <a:prstGeom prst="rect">
                            <a:avLst/>
                          </a:prstGeom>
                          <a:noFill/>
                          <a:ln w="9525">
                            <a:noFill/>
                            <a:headEnd/>
                            <a:tailEnd/>
                          </a:ln>
                        </pic:spPr>
                      </pic:pic>
                    </a:graphicData>
                  </a:graphic>
                </wp:inline>
              </w:drawing>
            </w:r>
          </w:p>
          <w:bookmarkEnd w:id="111"/>
        </w:tc>
      </w:tr>
    </w:tbl>
    <w:bookmarkEnd w:id="112"/>
    <w:bookmarkStart w:id="117" w:name="job-loss"/>
    <w:p>
      <w:pPr>
        <w:pStyle w:val="Heading2"/>
      </w:pPr>
      <w:r>
        <w:t xml:space="preserve">4.4 Job loss</w:t>
      </w:r>
    </w:p>
    <w:tbl>
      <w:tblPr>
        <w:tblStyle w:val="Table"/>
        <w:tblW w:type="pct" w:w="5000"/>
        <w:tblLayout w:type="fixed"/>
        <w:tblLook w:firstRow="0" w:lastRow="0" w:firstColumn="0" w:lastColumn="0" w:noHBand="0" w:noVBand="0" w:val="0000"/>
      </w:tblPr>
      <w:tblGrid>
        <w:gridCol w:w="7920"/>
      </w:tblGrid>
      <w:tr>
        <w:tc>
          <w:tcPr/>
          <w:bookmarkStart w:id="116" w:name="fig-time-jobloss"/>
          <w:p>
            <w:pPr>
              <w:jc w:val="center"/>
            </w:pPr>
            <w:pPr>
              <w:jc w:val="start"/>
              <w:spacing w:before="200"/>
              <w:pStyle w:val="ImageCaption"/>
            </w:pPr>
            <w:r>
              <w:t xml:space="preserve">Figure 16: Average support for redistribution by social class (2002-2022)</w:t>
            </w:r>
          </w:p>
          <w:p>
            <w:pPr>
              <w:pStyle w:val="Compact"/>
              <w:jc w:val="center"/>
            </w:pPr>
            <w:r>
              <w:drawing>
                <wp:inline>
                  <wp:extent cx="4160520" cy="3328416"/>
                  <wp:effectExtent b="0" l="0" r="0" t="0"/>
                  <wp:docPr descr="" title="" id="114" name="Picture"/>
                  <a:graphic>
                    <a:graphicData uri="http://schemas.openxmlformats.org/drawingml/2006/picture">
                      <pic:pic>
                        <pic:nvPicPr>
                          <pic:cNvPr descr="report_files/figure-docx/fig-time-jobloss-1.png" id="115" name="Picture"/>
                          <pic:cNvPicPr>
                            <a:picLocks noChangeArrowheads="1" noChangeAspect="1"/>
                          </pic:cNvPicPr>
                        </pic:nvPicPr>
                        <pic:blipFill>
                          <a:blip r:embed="rId113"/>
                          <a:stretch>
                            <a:fillRect/>
                          </a:stretch>
                        </pic:blipFill>
                        <pic:spPr bwMode="auto">
                          <a:xfrm>
                            <a:off x="0" y="0"/>
                            <a:ext cx="4160520" cy="3328416"/>
                          </a:xfrm>
                          <a:prstGeom prst="rect">
                            <a:avLst/>
                          </a:prstGeom>
                          <a:noFill/>
                          <a:ln w="9525">
                            <a:noFill/>
                            <a:headEnd/>
                            <a:tailEnd/>
                          </a:ln>
                        </pic:spPr>
                      </pic:pic>
                    </a:graphicData>
                  </a:graphic>
                </wp:inline>
              </w:drawing>
            </w:r>
          </w:p>
          <w:bookmarkEnd w:id="116"/>
        </w:tc>
      </w:tr>
    </w:tbl>
    <w:bookmarkEnd w:id="117"/>
    <w:bookmarkStart w:id="118" w:name="multivariate-analysis"/>
    <w:p>
      <w:pPr>
        <w:pStyle w:val="Heading2"/>
      </w:pPr>
      <w:r>
        <w:t xml:space="preserve">4.5 Multivariate analysis</w:t>
      </w:r>
    </w:p>
    <w:p>
      <w:pPr>
        <w:pStyle w:val="FirstParagraph"/>
      </w:pPr>
      <w:r>
        <w:t xml:space="preserve">We created a multivariate regression model to assess the extent to which these individual factors are associated support for government reducing differences in income levels in Ireland. In order to The</w:t>
      </w:r>
      <w:r>
        <w:t xml:space="preserve"> </w:t>
      </w:r>
      <w:hyperlink w:anchor="tbl-multiv-gincdif">
        <w:r>
          <w:rPr>
            <w:rStyle w:val="Hyperlink"/>
          </w:rPr>
          <w:t xml:space="preserve">Table 1</w:t>
        </w:r>
      </w:hyperlink>
      <w:r>
        <w:t xml:space="preserve"> </w:t>
      </w:r>
      <w:r>
        <w:t xml:space="preserve">below shows the coefficients of the OLS regression model. The overall explanatory power of the model is low, indicating that the small set of variables selected do not provide enough information to predict support appropriately. The effect of age is very small compared to other variables. Both the social class and subjective income suggest that respondents in more precarious economic situation tend to be more favourable of the government reducing income differences.</w:t>
      </w:r>
    </w:p>
    <w:bookmarkEnd w:id="118"/>
    <w:bookmarkEnd w:id="119"/>
    <w:bookmarkStart w:id="157" w:name="references"/>
    <w:p>
      <w:pPr>
        <w:pStyle w:val="Heading1"/>
      </w:pPr>
      <w:r>
        <w:t xml:space="preserve">References</w:t>
      </w:r>
    </w:p>
    <w:bookmarkStart w:id="156" w:name="refs"/>
    <w:bookmarkStart w:id="121" w:name="ref-attewell_deservingness_2021"/>
    <w:p>
      <w:pPr>
        <w:pStyle w:val="Bibliography"/>
      </w:pPr>
      <w:r>
        <w:t xml:space="preserve">Attewell, David. 2021.</w:t>
      </w:r>
      <w:r>
        <w:t xml:space="preserve"> </w:t>
      </w:r>
      <w:r>
        <w:t xml:space="preserve">“Deservingness Perceptions, Welfare State Support and Vote Choice in</w:t>
      </w:r>
      <w:r>
        <w:t xml:space="preserve"> </w:t>
      </w:r>
      <w:r>
        <w:t xml:space="preserve">Western</w:t>
      </w:r>
      <w:r>
        <w:t xml:space="preserve"> </w:t>
      </w:r>
      <w:r>
        <w:t xml:space="preserve">Europe</w:t>
      </w:r>
      <w:r>
        <w:t xml:space="preserve">.”</w:t>
      </w:r>
      <w:r>
        <w:t xml:space="preserve"> </w:t>
      </w:r>
      <w:r>
        <w:rPr>
          <w:i/>
          <w:iCs/>
        </w:rPr>
        <w:t xml:space="preserve">West European Politics</w:t>
      </w:r>
      <w:r>
        <w:t xml:space="preserve"> </w:t>
      </w:r>
      <w:r>
        <w:t xml:space="preserve">44 (3): 611–34.</w:t>
      </w:r>
      <w:r>
        <w:t xml:space="preserve"> </w:t>
      </w:r>
      <w:hyperlink r:id="rId120">
        <w:r>
          <w:rPr>
            <w:rStyle w:val="Hyperlink"/>
          </w:rPr>
          <w:t xml:space="preserve">https://doi.org/10.1080/01402382.2020.1715704</w:t>
        </w:r>
      </w:hyperlink>
      <w:r>
        <w:t xml:space="preserve">.</w:t>
      </w:r>
    </w:p>
    <w:bookmarkEnd w:id="121"/>
    <w:bookmarkStart w:id="123" w:name="ref-bonnet_what_2024"/>
    <w:p>
      <w:pPr>
        <w:pStyle w:val="Bibliography"/>
      </w:pPr>
      <w:r>
        <w:t xml:space="preserve">Bonnet, Julien, Emanuele Ciani, Gianluca Grimalda, Fabrice Murtin, and David Pipke. 2024.</w:t>
      </w:r>
      <w:r>
        <w:t xml:space="preserve"> </w:t>
      </w:r>
      <w:r>
        <w:t xml:space="preserve">“What Explains Preferences for Redistribution?:</w:t>
      </w:r>
      <w:r>
        <w:t xml:space="preserve"> </w:t>
      </w:r>
      <w:r>
        <w:t xml:space="preserve">Evidence</w:t>
      </w:r>
      <w:r>
        <w:t xml:space="preserve"> </w:t>
      </w:r>
      <w:r>
        <w:t xml:space="preserve">from an International Survey.”</w:t>
      </w:r>
      <w:r>
        <w:t xml:space="preserve"> </w:t>
      </w:r>
      <w:r>
        <w:t xml:space="preserve">{OECD} {Papers} on {Well}-being and {Inequalities}.</w:t>
      </w:r>
      <w:r>
        <w:t xml:space="preserve"> </w:t>
      </w:r>
      <w:hyperlink r:id="rId122">
        <w:r>
          <w:rPr>
            <w:rStyle w:val="Hyperlink"/>
          </w:rPr>
          <w:t xml:space="preserve">https://doi.org/10.1787/c0120dea-en</w:t>
        </w:r>
      </w:hyperlink>
      <w:r>
        <w:t xml:space="preserve">.</w:t>
      </w:r>
    </w:p>
    <w:bookmarkEnd w:id="123"/>
    <w:bookmarkStart w:id="125"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24">
        <w:r>
          <w:rPr>
            <w:rStyle w:val="Hyperlink"/>
          </w:rPr>
          <w:t xml:space="preserve">https://doi.org/10.1177/09589287241290742</w:t>
        </w:r>
      </w:hyperlink>
      <w:r>
        <w:t xml:space="preserve">.</w:t>
      </w:r>
    </w:p>
    <w:bookmarkEnd w:id="125"/>
    <w:bookmarkStart w:id="127"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26">
        <w:r>
          <w:rPr>
            <w:rStyle w:val="Hyperlink"/>
          </w:rPr>
          <w:t xml:space="preserve">https://doi.org/10.1016/j.jebo.2021.03.017</w:t>
        </w:r>
      </w:hyperlink>
      <w:r>
        <w:t xml:space="preserve">.</w:t>
      </w:r>
    </w:p>
    <w:bookmarkEnd w:id="127"/>
    <w:bookmarkStart w:id="129"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28">
        <w:r>
          <w:rPr>
            <w:rStyle w:val="Hyperlink"/>
          </w:rPr>
          <w:t xml:space="preserve">https://doi.org/10.1177/09589287211066469</w:t>
        </w:r>
      </w:hyperlink>
      <w:r>
        <w:t xml:space="preserve">.</w:t>
      </w:r>
    </w:p>
    <w:bookmarkEnd w:id="129"/>
    <w:bookmarkStart w:id="131"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30">
        <w:r>
          <w:rPr>
            <w:rStyle w:val="Hyperlink"/>
          </w:rPr>
          <w:t xml:space="preserve">https://doi.org/10.1111/j.1467-9477.2008.00211.x</w:t>
        </w:r>
      </w:hyperlink>
      <w:r>
        <w:t xml:space="preserve">.</w:t>
      </w:r>
    </w:p>
    <w:bookmarkEnd w:id="131"/>
    <w:bookmarkStart w:id="133"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32">
        <w:r>
          <w:rPr>
            <w:rStyle w:val="Hyperlink"/>
          </w:rPr>
          <w:t xml:space="preserve">https://doi.org/10.1177/0958928720978012</w:t>
        </w:r>
      </w:hyperlink>
      <w:r>
        <w:t xml:space="preserve">.</w:t>
      </w:r>
    </w:p>
    <w:bookmarkEnd w:id="133"/>
    <w:bookmarkStart w:id="135"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34">
        <w:r>
          <w:rPr>
            <w:rStyle w:val="Hyperlink"/>
          </w:rPr>
          <w:t xml:space="preserve">https://doi.org/10.1007/s11205-011-9915-5</w:t>
        </w:r>
      </w:hyperlink>
      <w:r>
        <w:t xml:space="preserve">.</w:t>
      </w:r>
    </w:p>
    <w:bookmarkEnd w:id="135"/>
    <w:bookmarkStart w:id="137"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36">
        <w:r>
          <w:rPr>
            <w:rStyle w:val="Hyperlink"/>
          </w:rPr>
          <w:t xml:space="preserve">https://doi.org/10.26504/rs176</w:t>
        </w:r>
      </w:hyperlink>
      <w:r>
        <w:t xml:space="preserve">.</w:t>
      </w:r>
    </w:p>
    <w:bookmarkEnd w:id="137"/>
    <w:bookmarkStart w:id="139"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138">
        <w:r>
          <w:rPr>
            <w:rStyle w:val="Hyperlink"/>
          </w:rPr>
          <w:t xml:space="preserve">https://doi.org/10.1111/1468-4446.12747</w:t>
        </w:r>
      </w:hyperlink>
      <w:r>
        <w:t xml:space="preserve">.</w:t>
      </w:r>
    </w:p>
    <w:bookmarkEnd w:id="139"/>
    <w:bookmarkStart w:id="141"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40">
        <w:r>
          <w:rPr>
            <w:rStyle w:val="Hyperlink"/>
          </w:rPr>
          <w:t xml:space="preserve">https://doi.org/10.1017/psrm.2023.57</w:t>
        </w:r>
      </w:hyperlink>
      <w:r>
        <w:t xml:space="preserve">.</w:t>
      </w:r>
    </w:p>
    <w:bookmarkEnd w:id="141"/>
    <w:bookmarkStart w:id="142"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42"/>
    <w:bookmarkStart w:id="144"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43">
        <w:r>
          <w:rPr>
            <w:rStyle w:val="Hyperlink"/>
          </w:rPr>
          <w:t xml:space="preserve">https://doi.org/10.1177/0268580906061379</w:t>
        </w:r>
      </w:hyperlink>
      <w:r>
        <w:t xml:space="preserve">.</w:t>
      </w:r>
    </w:p>
    <w:bookmarkEnd w:id="144"/>
    <w:bookmarkStart w:id="145" w:name="ref-van_oorschot_social_2017"/>
    <w:p>
      <w:pPr>
        <w:pStyle w:val="Bibliography"/>
      </w:pPr>
      <w:r>
        <w:t xml:space="preserve">Oorschot, Wim van, and Femke Roosma. 2017.</w:t>
      </w:r>
      <w:r>
        <w:t xml:space="preserve"> </w:t>
      </w:r>
      <w:r>
        <w:t xml:space="preserve">“The Social Legitimacy of Differently Targeted Benefits.”</w:t>
      </w:r>
    </w:p>
    <w:bookmarkEnd w:id="145"/>
    <w:bookmarkStart w:id="147"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46">
        <w:r>
          <w:rPr>
            <w:rStyle w:val="Hyperlink"/>
          </w:rPr>
          <w:t xml:space="preserve">https://doi.org/10.26504/jr7</w:t>
        </w:r>
      </w:hyperlink>
      <w:r>
        <w:t xml:space="preserve">.</w:t>
      </w:r>
    </w:p>
    <w:bookmarkEnd w:id="147"/>
    <w:bookmarkStart w:id="149"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48">
        <w:r>
          <w:rPr>
            <w:rStyle w:val="Hyperlink"/>
          </w:rPr>
          <w:t xml:space="preserve">https://doi.org/10.3390/soc9030050</w:t>
        </w:r>
      </w:hyperlink>
      <w:r>
        <w:t xml:space="preserve">.</w:t>
      </w:r>
    </w:p>
    <w:bookmarkEnd w:id="149"/>
    <w:bookmarkStart w:id="151"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50">
        <w:r>
          <w:rPr>
            <w:rStyle w:val="Hyperlink"/>
          </w:rPr>
          <w:t xml:space="preserve">https://doi.org/10.11126/stanford/9780804782524.001.0001</w:t>
        </w:r>
      </w:hyperlink>
      <w:r>
        <w:t xml:space="preserve">.</w:t>
      </w:r>
    </w:p>
    <w:bookmarkEnd w:id="151"/>
    <w:bookmarkStart w:id="153"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52">
        <w:r>
          <w:rPr>
            <w:rStyle w:val="Hyperlink"/>
          </w:rPr>
          <w:t xml:space="preserve">https://scholar.google.com/scholar?cluster=14780777134980176311&amp;hl=en&amp;oi=scholarr</w:t>
        </w:r>
      </w:hyperlink>
      <w:r>
        <w:t xml:space="preserve">.</w:t>
      </w:r>
    </w:p>
    <w:bookmarkEnd w:id="153"/>
    <w:bookmarkStart w:id="155"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54">
        <w:r>
          <w:rPr>
            <w:rStyle w:val="Hyperlink"/>
          </w:rPr>
          <w:t xml:space="preserve">https://doi.org/10.1057/s41269-022-00260-9</w:t>
        </w:r>
      </w:hyperlink>
      <w:r>
        <w:t xml:space="preserve">.</w:t>
      </w:r>
    </w:p>
    <w:bookmarkEnd w:id="155"/>
    <w:bookmarkEnd w:id="156"/>
    <w:bookmarkEnd w:id="157"/>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6A4AD7D3" w:rsidR="009F4E1E" w:rsidRPr="004A7C10" w:rsidRDefault="009F4E1E" w:rsidP="004A7C10">
    <w:pPr>
      <w:pStyle w:val="Header"/>
    </w:pPr>
    <w:r w:rsidRPr="004A7C10">
      <w:rPr>
        <w:rStyle w:val="PageNumber"/>
      </w:rPr>
      <w:fldChar w:fldCharType="begin"/>
    </w:r>
    <w:r w:rsidRPr="004A7C10">
      <w:rPr>
        <w:rStyle w:val="PageNumber"/>
      </w:rPr>
      <w:instrText xml:space="preserve"> PAGE </w:instrText>
    </w:r>
    <w:r w:rsidRPr="004A7C10">
      <w:rPr>
        <w:rStyle w:val="PageNumber"/>
      </w:rPr>
      <w:fldChar w:fldCharType="separate"/>
    </w:r>
    <w:r w:rsidRPr="004A7C10">
      <w:rPr>
        <w:rStyle w:val="PageNumber"/>
      </w:rPr>
      <w:t>2</w:t>
    </w:r>
    <w:r w:rsidRPr="004A7C10">
      <w:rPr>
        <w:rStyle w:val="PageNumber"/>
      </w:rPr>
      <w:fldChar w:fldCharType="end"/>
    </w:r>
    <w:r w:rsidRPr="004A7C10">
      <w:rPr>
        <w:rStyle w:val="PageNumber"/>
      </w:rPr>
      <w:t xml:space="preserve"> </w:t>
    </w:r>
    <w:r w:rsidRPr="004A7C10">
      <w:t xml:space="preserve">| </w:t>
    </w:r>
    <w:fldSimple w:instr=" STYLEREF  Title  \* MERGEFORMAT ">
      <w:r w:rsidR="004A7C10">
        <w:rPr>
          <w:noProof/>
        </w:rPr>
        <w:t>Title</w:t>
      </w:r>
    </w:fldSimple>
    <w:r w:rsidRPr="004A7C10">
      <w:fldChar w:fldCharType="begin"/>
    </w:r>
    <w:r w:rsidRPr="004A7C10">
      <w:instrText xml:space="preserve"> TITLE   \* MERGEFORMAT </w:instrText>
    </w:r>
    <w:r w:rsidRPr="004A7C10">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3444470C" w:rsidR="009F4E1E" w:rsidRPr="009D5038" w:rsidRDefault="009F4E1E" w:rsidP="004A7C10">
    <w:pPr>
      <w:pStyle w:val="Header"/>
      <w:jc w:val="right"/>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sidR="004A7C10">
        <w:rPr>
          <w:noProof/>
        </w:rPr>
        <w:t>Heading 1</w:t>
      </w:r>
    </w:fldSimple>
    <w:r>
      <w:fldChar w:fldCharType="begin"/>
    </w:r>
    <w:r>
      <w:instrText xml:space="preserve"> TITLE   \* MERGEFORMAT </w:instrText>
    </w:r>
    <w:r>
      <w:fldChar w:fldCharType="end"/>
    </w:r>
  </w:p>
  <w:p w14:paraId="1ECA66F5" w14:textId="77777777" w:rsidR="009F4E1E" w:rsidRDefault="009F4E1E" w:rsidP="004A7C1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1" w:latentStyles="1" w:numberingStyles="0" w:stylesInUse="0" w:tableStyles="0" w:top3HeadingStyles="0" w:val="4024" w:visibleStyles="1"/>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A53471"/>
    <w:rsid w:val="00200A84"/>
    <w:rsid w:val="004A7C10"/>
    <w:rsid w:val="006C405E"/>
    <w:rsid w:val="006C419F"/>
    <w:rsid w:val="008405AB"/>
    <w:rsid w:val="008972D0"/>
    <w:rsid w:val="009F4E1E"/>
    <w:rsid w:val="00A53471"/>
    <w:rsid w:val="00D26C7B"/>
    <w:rsid w:val="00E22034"/>
    <w:rsid w:val="00F45C1F"/>
    <w:rsid w:val="00F63983"/>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69" Target="media/rId69.png" /><Relationship Type="http://schemas.openxmlformats.org/officeDocument/2006/relationships/image" Id="rId49" Target="media/rId49.png" /><Relationship Type="http://schemas.openxmlformats.org/officeDocument/2006/relationships/image" Id="rId94" Target="media/rId94.png" /><Relationship Type="http://schemas.openxmlformats.org/officeDocument/2006/relationships/image" Id="rId62" Target="media/rId62.png" /><Relationship Type="http://schemas.openxmlformats.org/officeDocument/2006/relationships/image" Id="rId27" Target="media/rId27.png"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73" Target="media/rId73.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104" Target="media/rId104.png" /><Relationship Type="http://schemas.openxmlformats.org/officeDocument/2006/relationships/image" Id="rId78" Target="media/rId78.png" /><Relationship Type="http://schemas.openxmlformats.org/officeDocument/2006/relationships/image" Id="rId55" Target="media/rId55.png" /><Relationship Type="http://schemas.openxmlformats.org/officeDocument/2006/relationships/image" Id="rId108" Target="media/rId108.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hyperlink" Id="rId134" Target="https://doi.org/10.1007/s11205-011-9915-5" TargetMode="External" /><Relationship Type="http://schemas.openxmlformats.org/officeDocument/2006/relationships/hyperlink" Id="rId126" Target="https://doi.org/10.1016/j.jebo.2021.03.017" TargetMode="External" /><Relationship Type="http://schemas.openxmlformats.org/officeDocument/2006/relationships/hyperlink" Id="rId140" Target="https://doi.org/10.1017/psrm.2023.57" TargetMode="External" /><Relationship Type="http://schemas.openxmlformats.org/officeDocument/2006/relationships/hyperlink" Id="rId154" Target="https://doi.org/10.1057/s41269-022-00260-9" TargetMode="External" /><Relationship Type="http://schemas.openxmlformats.org/officeDocument/2006/relationships/hyperlink" Id="rId120" Target="https://doi.org/10.1080/01402382.2020.1715704" TargetMode="External" /><Relationship Type="http://schemas.openxmlformats.org/officeDocument/2006/relationships/hyperlink" Id="rId138" Target="https://doi.org/10.1111/1468-4446.12747" TargetMode="External" /><Relationship Type="http://schemas.openxmlformats.org/officeDocument/2006/relationships/hyperlink" Id="rId130" Target="https://doi.org/10.1111/j.1467-9477.2008.00211.x" TargetMode="External" /><Relationship Type="http://schemas.openxmlformats.org/officeDocument/2006/relationships/hyperlink" Id="rId150" Target="https://doi.org/10.11126/stanford/9780804782524.001.0001" TargetMode="External" /><Relationship Type="http://schemas.openxmlformats.org/officeDocument/2006/relationships/hyperlink" Id="rId143" Target="https://doi.org/10.1177/0268580906061379" TargetMode="External" /><Relationship Type="http://schemas.openxmlformats.org/officeDocument/2006/relationships/hyperlink" Id="rId132" Target="https://doi.org/10.1177/0958928720978012" TargetMode="External" /><Relationship Type="http://schemas.openxmlformats.org/officeDocument/2006/relationships/hyperlink" Id="rId128" Target="https://doi.org/10.1177/09589287211066469" TargetMode="External" /><Relationship Type="http://schemas.openxmlformats.org/officeDocument/2006/relationships/hyperlink" Id="rId124" Target="https://doi.org/10.1177/09589287241290742" TargetMode="External" /><Relationship Type="http://schemas.openxmlformats.org/officeDocument/2006/relationships/hyperlink" Id="rId122" Target="https://doi.org/10.1787/c0120dea-en" TargetMode="External" /><Relationship Type="http://schemas.openxmlformats.org/officeDocument/2006/relationships/hyperlink" Id="rId146" Target="https://doi.org/10.26504/jr7" TargetMode="External" /><Relationship Type="http://schemas.openxmlformats.org/officeDocument/2006/relationships/hyperlink" Id="rId136" Target="https://doi.org/10.26504/rs176" TargetMode="External" /><Relationship Type="http://schemas.openxmlformats.org/officeDocument/2006/relationships/hyperlink" Id="rId148" Target="https://doi.org/10.3390/soc9030050" TargetMode="External" /><Relationship Type="http://schemas.openxmlformats.org/officeDocument/2006/relationships/hyperlink" Id="rId152"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7/s11205-011-9915-5" TargetMode="External" /><Relationship Type="http://schemas.openxmlformats.org/officeDocument/2006/relationships/hyperlink" Id="rId126" Target="https://doi.org/10.1016/j.jebo.2021.03.017" TargetMode="External" /><Relationship Type="http://schemas.openxmlformats.org/officeDocument/2006/relationships/hyperlink" Id="rId140" Target="https://doi.org/10.1017/psrm.2023.57" TargetMode="External" /><Relationship Type="http://schemas.openxmlformats.org/officeDocument/2006/relationships/hyperlink" Id="rId154" Target="https://doi.org/10.1057/s41269-022-00260-9" TargetMode="External" /><Relationship Type="http://schemas.openxmlformats.org/officeDocument/2006/relationships/hyperlink" Id="rId120" Target="https://doi.org/10.1080/01402382.2020.1715704" TargetMode="External" /><Relationship Type="http://schemas.openxmlformats.org/officeDocument/2006/relationships/hyperlink" Id="rId138" Target="https://doi.org/10.1111/1468-4446.12747" TargetMode="External" /><Relationship Type="http://schemas.openxmlformats.org/officeDocument/2006/relationships/hyperlink" Id="rId130" Target="https://doi.org/10.1111/j.1467-9477.2008.00211.x" TargetMode="External" /><Relationship Type="http://schemas.openxmlformats.org/officeDocument/2006/relationships/hyperlink" Id="rId150" Target="https://doi.org/10.11126/stanford/9780804782524.001.0001" TargetMode="External" /><Relationship Type="http://schemas.openxmlformats.org/officeDocument/2006/relationships/hyperlink" Id="rId143" Target="https://doi.org/10.1177/0268580906061379" TargetMode="External" /><Relationship Type="http://schemas.openxmlformats.org/officeDocument/2006/relationships/hyperlink" Id="rId132" Target="https://doi.org/10.1177/0958928720978012" TargetMode="External" /><Relationship Type="http://schemas.openxmlformats.org/officeDocument/2006/relationships/hyperlink" Id="rId128" Target="https://doi.org/10.1177/09589287211066469" TargetMode="External" /><Relationship Type="http://schemas.openxmlformats.org/officeDocument/2006/relationships/hyperlink" Id="rId124" Target="https://doi.org/10.1177/09589287241290742" TargetMode="External" /><Relationship Type="http://schemas.openxmlformats.org/officeDocument/2006/relationships/hyperlink" Id="rId122" Target="https://doi.org/10.1787/c0120dea-en" TargetMode="External" /><Relationship Type="http://schemas.openxmlformats.org/officeDocument/2006/relationships/hyperlink" Id="rId146" Target="https://doi.org/10.26504/jr7" TargetMode="External" /><Relationship Type="http://schemas.openxmlformats.org/officeDocument/2006/relationships/hyperlink" Id="rId136" Target="https://doi.org/10.26504/rs176" TargetMode="External" /><Relationship Type="http://schemas.openxmlformats.org/officeDocument/2006/relationships/hyperlink" Id="rId148" Target="https://doi.org/10.3390/soc9030050" TargetMode="External" /><Relationship Type="http://schemas.openxmlformats.org/officeDocument/2006/relationships/hyperlink" Id="rId152"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106</Words>
  <Characters>606</Characters>
  <Application>Microsoft Office Word</Application>
  <DocSecurity>0</DocSecurity>
  <Lines>5</Lines>
  <Paragraphs>1</Paragraphs>
  <ScaleCrop>false</ScaleCrop>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
  <cp:keywords/>
  <dcterms:created xsi:type="dcterms:W3CDTF">2025-08-28T13:51:56Z</dcterms:created>
  <dcterms:modified xsi:type="dcterms:W3CDTF">2025-08-28T13:51:56Z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