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1.jpg" ContentType="image/jpeg"/>
  <Override PartName="/word/media/rId34.jpg" ContentType="image/jpeg"/>
  <Override PartName="/word/media/rId110.png" ContentType="image/png"/>
  <Override PartName="/word/media/rId71.png" ContentType="image/png"/>
  <Override PartName="/word/media/rId67.png" ContentType="image/png"/>
  <Override PartName="/word/media/rId83.png" ContentType="image/png"/>
  <Override PartName="/word/media/rId103.png" ContentType="image/png"/>
  <Override PartName="/word/media/rId58.png" ContentType="image/png"/>
  <Override PartName="/word/media/rId47.png" ContentType="image/png"/>
  <Override PartName="/word/media/rId79.png" ContentType="image/png"/>
  <Override PartName="/word/media/rId88.png" ContentType="image/png"/>
  <Override PartName="/word/media/rId96.png" ContentType="image/png"/>
  <Override PartName="/word/media/rId62.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income redistribution and welfare policies in Ireland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introduction"/>
    <w:p>
      <w:pPr>
        <w:pStyle w:val="Heading1"/>
      </w:pPr>
      <w:r>
        <w:t xml:space="preserve">Introduction</w:t>
      </w:r>
    </w:p>
    <w:p>
      <w:pPr>
        <w:pStyle w:val="FirstParagraph"/>
      </w:pPr>
      <w:r>
        <w:t xml:space="preserve">Promises in the proposal:</w:t>
      </w:r>
    </w:p>
    <w:p>
      <w:pPr>
        <w:pStyle w:val="Compact"/>
        <w:numPr>
          <w:ilvl w:val="0"/>
          <w:numId w:val="1001"/>
        </w:numPr>
      </w:pPr>
      <w:hyperlink w:anchor="ess">
        <w:r>
          <w:rPr>
            <w:rStyle w:val="Hyperlink"/>
          </w:rPr>
          <w:t xml:space="preserve">ESS</w:t>
        </w:r>
      </w:hyperlink>
      <w:r>
        <w:t xml:space="preserve"> </w:t>
      </w:r>
      <w:r>
        <w:t xml:space="preserve">measure on the role of the government in reducing inequality […] could be used to examine people’s opinion on this over time (from 2002 to 2020) and compared to other EU countries</w:t>
      </w:r>
    </w:p>
    <w:p>
      <w:pPr>
        <w:pStyle w:val="Compact"/>
        <w:numPr>
          <w:ilvl w:val="0"/>
          <w:numId w:val="1001"/>
        </w:numPr>
      </w:pPr>
      <w:hyperlink w:anchor="ess">
        <w:r>
          <w:rPr>
            <w:rStyle w:val="Hyperlink"/>
          </w:rPr>
          <w:t xml:space="preserve">ESS</w:t>
        </w:r>
      </w:hyperlink>
      <w:r>
        <w:t xml:space="preserve"> </w:t>
      </w:r>
      <w:r>
        <w:t xml:space="preserve">special welfare module was included in 2008 and 2016 of the ESS. This could be used to highlight some of the key changes in welfare attitudes across this eight-year period</w:t>
      </w:r>
    </w:p>
    <w:p>
      <w:pPr>
        <w:pStyle w:val="Compact"/>
        <w:numPr>
          <w:ilvl w:val="0"/>
          <w:numId w:val="1001"/>
        </w:numPr>
      </w:pPr>
      <w:r>
        <w:t xml:space="preserve">With additional resources […] conduct an experiment on re-distribution preferences</w:t>
      </w:r>
    </w:p>
    <w:bookmarkStart w:id="20" w:name="key-points"/>
    <w:p>
      <w:pPr>
        <w:pStyle w:val="Heading2"/>
      </w:pPr>
      <w:r>
        <w:t xml:space="preserve">Key points</w:t>
      </w:r>
    </w:p>
    <w:p>
      <w:pPr>
        <w:numPr>
          <w:ilvl w:val="0"/>
          <w:numId w:val="1002"/>
        </w:numPr>
      </w:pPr>
      <w:r>
        <w:t xml:space="preserve">Over time, there is an overall stable support for government’s role in reducing differences in income levels (</w:t>
      </w:r>
      <w:hyperlink w:anchor="fig-ess-time">
        <w:r>
          <w:rPr>
            <w:rStyle w:val="Hyperlink"/>
          </w:rPr>
          <w:t xml:space="preserve">Figure 1</w:t>
        </w:r>
      </w:hyperlink>
      <w:r>
        <w:t xml:space="preserve">) and for wealth redistribution (</w:t>
      </w:r>
      <w:hyperlink w:anchor="fig-vs-time">
        <w:r>
          <w:rPr>
            <w:rStyle w:val="Hyperlink"/>
          </w:rPr>
          <w:t xml:space="preserve">Figure 2</w:t>
        </w:r>
      </w:hyperlink>
      <w:r>
        <w:t xml:space="preserve">).</w:t>
      </w:r>
    </w:p>
    <w:p>
      <w:pPr>
        <w:numPr>
          <w:ilvl w:val="0"/>
          <w:numId w:val="1002"/>
        </w:numPr>
      </w:pPr>
      <w:r>
        <w:t xml:space="preserve">ESS respondents from lower social classes and in worse financial situation are more likely to agree that the government should reduce differences in income levels (</w:t>
      </w:r>
      <w:hyperlink w:anchor="tbl-multiv-gincdif">
        <w:r>
          <w:rPr>
            <w:rStyle w:val="Hyperlink"/>
          </w:rPr>
          <w:t xml:space="preserve">Table 2</w:t>
        </w:r>
      </w:hyperlink>
      <w:r>
        <w:t xml:space="preserve">).</w:t>
      </w:r>
    </w:p>
    <w:p>
      <w:pPr>
        <w:numPr>
          <w:ilvl w:val="0"/>
          <w:numId w:val="1002"/>
        </w:numPr>
      </w:pPr>
      <w:r>
        <w:t xml:space="preserve">From 2008 to 2016, there was a significant reduction on the average agreement that social benefits pplace too great strain on economy (</w:t>
      </w:r>
      <w:hyperlink w:anchor="fig-benefits">
        <w:r>
          <w:rPr>
            <w:rStyle w:val="Hyperlink"/>
          </w:rPr>
          <w:t xml:space="preserve">Figure 12</w:t>
        </w:r>
      </w:hyperlink>
      <w:r>
        <w:t xml:space="preserve">)</w:t>
      </w:r>
    </w:p>
    <w:p>
      <w:pPr>
        <w:numPr>
          <w:ilvl w:val="0"/>
          <w:numId w:val="1002"/>
        </w:numPr>
      </w:pPr>
      <w:r>
        <w:t xml:space="preserve">Respondents in worse financial situation (subjective self-reported) tend to disagree more with the perspective that social benefits are disincentives for work, economy and social cooperation (</w:t>
      </w:r>
      <w:hyperlink w:anchor="tbl-multiv-beliefs">
        <w:r>
          <w:rPr>
            <w:rStyle w:val="Hyperlink"/>
          </w:rPr>
          <w:t xml:space="preserve">Table 3</w:t>
        </w:r>
      </w:hyperlink>
      <w:r>
        <w:t xml:space="preserve">)</w:t>
      </w:r>
    </w:p>
    <w:p>
      <w:pPr>
        <w:numPr>
          <w:ilvl w:val="0"/>
          <w:numId w:val="1002"/>
        </w:numPr>
      </w:pPr>
      <w:r>
        <w:t xml:space="preserve">There is a trajectory of increasing support for redistribution across skilled and unskilled workers since round 8 (2016). However, for lower-grade service class and small business owners, there seems to be a break in this trajectory captured in the latest wave (</w:t>
      </w:r>
      <w:hyperlink w:anchor="fig-class5-time">
        <w:r>
          <w:rPr>
            <w:rStyle w:val="Hyperlink"/>
          </w:rPr>
          <w:t xml:space="preserve">Figure 8</w:t>
        </w:r>
      </w:hyperlink>
      <w:r>
        <w:t xml:space="preserve">)</w:t>
      </w:r>
    </w:p>
    <w:bookmarkEnd w:id="20"/>
    <w:bookmarkStart w:id="45" w:name="methods"/>
    <w:p>
      <w:pPr>
        <w:pStyle w:val="Heading2"/>
      </w:pPr>
      <w:r>
        <w:t xml:space="preserve">Methods</w:t>
      </w:r>
    </w:p>
    <w:bookmarkStart w:id="33" w:name="voter-survey"/>
    <w:p>
      <w:pPr>
        <w:pStyle w:val="Heading3"/>
      </w:pPr>
      <w:r>
        <w:t xml:space="preserve">Voter Survey</w:t>
      </w:r>
    </w:p>
    <w:p>
      <w:pPr>
        <w:pStyle w:val="CaptionedFigure"/>
      </w:pPr>
      <w:r>
        <w:drawing>
          <wp:inline>
            <wp:extent cx="1905000" cy="657225"/>
            <wp:effectExtent b="0" l="0" r="0" t="0"/>
            <wp:docPr descr="European Elections Studies" title="" id="22" name="Picture"/>
            <a:graphic>
              <a:graphicData uri="http://schemas.openxmlformats.org/drawingml/2006/picture">
                <pic:pic>
                  <pic:nvPicPr>
                    <pic:cNvPr descr="assets/img/ees.jpg" id="23" name="Picture"/>
                    <pic:cNvPicPr>
                      <a:picLocks noChangeArrowheads="1" noChangeAspect="1"/>
                    </pic:cNvPicPr>
                  </pic:nvPicPr>
                  <pic:blipFill>
                    <a:blip r:embed="rId21"/>
                    <a:stretch>
                      <a:fillRect/>
                    </a:stretch>
                  </pic:blipFill>
                  <pic:spPr bwMode="auto">
                    <a:xfrm>
                      <a:off x="0" y="0"/>
                      <a:ext cx="1905000" cy="657225"/>
                    </a:xfrm>
                    <a:prstGeom prst="rect">
                      <a:avLst/>
                    </a:prstGeom>
                    <a:noFill/>
                    <a:ln w="9525">
                      <a:noFill/>
                      <a:headEnd/>
                      <a:tailEnd/>
                    </a:ln>
                  </pic:spPr>
                </pic:pic>
              </a:graphicData>
            </a:graphic>
          </wp:inline>
        </w:drawing>
      </w:r>
    </w:p>
    <w:p>
      <w:pPr>
        <w:pStyle w:val="ImageCaption"/>
      </w:pPr>
      <w:r>
        <w:t xml:space="preserve">European Elections Studies</w:t>
      </w:r>
    </w:p>
    <w:p>
      <w:pPr>
        <w:pStyle w:val="BodyText"/>
      </w:pPr>
      <w:hyperlink r:id="rId24">
        <w:r>
          <w:rPr>
            <w:rStyle w:val="Hyperlink"/>
          </w:rPr>
          <w:t xml:space="preserve">EES Website</w:t>
        </w:r>
      </w:hyperlink>
    </w:p>
    <w:p>
      <w:pPr>
        <w:pStyle w:val="BodyText"/>
      </w:pPr>
      <w:r>
        <w:t xml:space="preserve">We rely on public opinion data from Voter Surveys conducted immediately after the European elections. Data from the latest three surveys (2014, 2019, 2024) were analysed here. These surveys are part of the European Elections Studies (EES), which also features political elite surveys, media studies, and the Euromanifestos project that codes Party Manifestos. Before 1994, the voter survey questions 3 part of the Eurobarometer surveys. Since the 1999 elections, EES surveys have been conducted independently of the Eurobarometer.</w:t>
      </w:r>
    </w:p>
    <w:bookmarkStart w:id="31" w:name="response-variable"/>
    <w:p>
      <w:pPr>
        <w:pStyle w:val="Heading4"/>
      </w:pPr>
      <w:r>
        <w:t xml:space="preserve">Response variable</w:t>
      </w:r>
    </w:p>
    <w:p>
      <w:pPr>
        <w:pStyle w:val="FirstParagraph"/>
      </w:pPr>
      <w:r>
        <w:t xml:space="preserve">Here is the main response variable used in this project: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daniel.capistrano\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 We would like to ask you to position yourself on a scale from 0 to 10, where</w:t>
            </w:r>
            <w:r>
              <w:t xml:space="preserve"> </w:t>
            </w:r>
            <w:r>
              <w:t xml:space="preserve">‘0’</w:t>
            </w:r>
            <w:r>
              <w:t xml:space="preserve"> </w:t>
            </w:r>
            <w:r>
              <w:t xml:space="preserve">means that you</w:t>
            </w:r>
            <w:r>
              <w:t xml:space="preserve"> </w:t>
            </w:r>
            <w:r>
              <w:t xml:space="preserve">“fully agree with the statement at the top”</w:t>
            </w:r>
            <w:r>
              <w:t xml:space="preserve"> </w:t>
            </w:r>
            <w:r>
              <w:t xml:space="preserve">and</w:t>
            </w:r>
            <w:r>
              <w:t xml:space="preserve"> </w:t>
            </w:r>
            <w:r>
              <w:t xml:space="preserve">‘10’</w:t>
            </w:r>
            <w:r>
              <w:t xml:space="preserve"> </w:t>
            </w:r>
            <w:r>
              <w:t xml:space="preserve">means that you</w:t>
            </w:r>
            <w:r>
              <w:t xml:space="preserve"> </w:t>
            </w:r>
            <w:r>
              <w:t xml:space="preserve">“fully agree with the statement at the bottom”</w:t>
            </w:r>
            <w:r>
              <w:t xml:space="preserve">. […]</w:t>
            </w:r>
          </w:p>
          <w:p>
            <w:pPr>
              <w:pStyle w:val="BodyText"/>
            </w:pPr>
            <w:pPr>
              <w:spacing w:after="16"/>
            </w:pPr>
            <w:r>
              <w:rPr>
                <w:b/>
                <w:bCs/>
              </w:rPr>
              <w:t xml:space="preserve">Redistribution of wealth</w:t>
            </w:r>
            <w:r>
              <w:br/>
            </w:r>
            <w:r>
              <w:rPr>
                <w:b/>
                <w:bCs/>
              </w:rPr>
              <w:t xml:space="preserve">0</w:t>
            </w:r>
            <w:r>
              <w:t xml:space="preserve"> </w:t>
            </w:r>
            <w:r>
              <w:t xml:space="preserve">- You fully favour redistribution from the rich to the poor in Ireland</w:t>
            </w:r>
            <w:r>
              <w:br/>
            </w:r>
            <w:r>
              <w:rPr>
                <w:b/>
                <w:bCs/>
              </w:rPr>
              <w:t xml:space="preserve">10</w:t>
            </w:r>
            <w:r>
              <w:t xml:space="preserve"> </w:t>
            </w:r>
            <w:r>
              <w:t xml:space="preserve">You fully oppose redistribution of wealth from the rich to the poor in Ireland</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daniel.capistrano\AppData\Local\Program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original scale of this variable was inverted for this analysis. So, in the results presented here, higher values indicate more in favour of redistribution.</w:t>
            </w:r>
          </w:p>
        </w:tc>
      </w:tr>
    </w:tbl>
    <w:bookmarkEnd w:id="31"/>
    <w:bookmarkStart w:id="32" w:name="relevant-variables"/>
    <w:p>
      <w:pPr>
        <w:pStyle w:val="Heading4"/>
      </w:pPr>
      <w:r>
        <w:t xml:space="preserve">Relevant variables</w:t>
      </w:r>
    </w:p>
    <w:p>
      <w:pPr>
        <w:pStyle w:val="FirstParagraph"/>
      </w:pPr>
      <w:r>
        <w:t xml:space="preserve">Here are relevant variables from the latest three waves that were also included in the analysis.</w:t>
      </w:r>
    </w:p>
    <w:p>
      <w:pPr>
        <w:pStyle w:val="Compact"/>
        <w:numPr>
          <w:ilvl w:val="0"/>
          <w:numId w:val="1003"/>
        </w:numPr>
      </w:pPr>
      <w:r>
        <w:t xml:space="preserve">Country of birth</w:t>
      </w:r>
      <w:r>
        <w:br/>
      </w:r>
    </w:p>
    <w:p>
      <w:pPr>
        <w:pStyle w:val="Compact"/>
        <w:numPr>
          <w:ilvl w:val="0"/>
          <w:numId w:val="1003"/>
        </w:numPr>
      </w:pPr>
      <w:r>
        <w:t xml:space="preserve">Age</w:t>
      </w:r>
      <w:r>
        <w:br/>
      </w:r>
    </w:p>
    <w:p>
      <w:pPr>
        <w:pStyle w:val="Compact"/>
        <w:numPr>
          <w:ilvl w:val="0"/>
          <w:numId w:val="1003"/>
        </w:numPr>
      </w:pPr>
      <w:r>
        <w:t xml:space="preserve">Gender</w:t>
      </w:r>
      <w:r>
        <w:br/>
      </w:r>
    </w:p>
    <w:p>
      <w:pPr>
        <w:pStyle w:val="Compact"/>
        <w:numPr>
          <w:ilvl w:val="0"/>
          <w:numId w:val="1003"/>
        </w:numPr>
      </w:pPr>
      <w:r>
        <w:t xml:space="preserve">Educational attainment</w:t>
      </w:r>
    </w:p>
    <w:bookmarkEnd w:id="32"/>
    <w:bookmarkEnd w:id="33"/>
    <w:bookmarkStart w:id="44" w:name="european-social-survey"/>
    <w:p>
      <w:pPr>
        <w:pStyle w:val="Heading3"/>
      </w:pPr>
      <w:r>
        <w:t xml:space="preserve">European Social Survey</w:t>
      </w:r>
    </w:p>
    <w:p>
      <w:pPr>
        <w:pStyle w:val="CaptionedFigure"/>
      </w:pPr>
      <w:r>
        <w:drawing>
          <wp:inline>
            <wp:extent cx="1905000" cy="828675"/>
            <wp:effectExtent b="0" l="0" r="0" t="0"/>
            <wp:docPr descr="European Social Survey" title="" id="35" name="Picture"/>
            <a:graphic>
              <a:graphicData uri="http://schemas.openxmlformats.org/drawingml/2006/picture">
                <pic:pic>
                  <pic:nvPicPr>
                    <pic:cNvPr descr="assets/img/ess.jpg" id="36" name="Picture"/>
                    <pic:cNvPicPr>
                      <a:picLocks noChangeArrowheads="1" noChangeAspect="1"/>
                    </pic:cNvPicPr>
                  </pic:nvPicPr>
                  <pic:blipFill>
                    <a:blip r:embed="rId34"/>
                    <a:stretch>
                      <a:fillRect/>
                    </a:stretch>
                  </pic:blipFill>
                  <pic:spPr bwMode="auto">
                    <a:xfrm>
                      <a:off x="0" y="0"/>
                      <a:ext cx="1905000" cy="828675"/>
                    </a:xfrm>
                    <a:prstGeom prst="rect">
                      <a:avLst/>
                    </a:prstGeom>
                    <a:noFill/>
                    <a:ln w="9525">
                      <a:noFill/>
                      <a:headEnd/>
                      <a:tailEnd/>
                    </a:ln>
                  </pic:spPr>
                </pic:pic>
              </a:graphicData>
            </a:graphic>
          </wp:inline>
        </w:drawing>
      </w:r>
    </w:p>
    <w:p>
      <w:pPr>
        <w:pStyle w:val="ImageCaption"/>
      </w:pPr>
      <w:r>
        <w:t xml:space="preserve">European Social Survey</w:t>
      </w:r>
    </w:p>
    <w:p>
      <w:pPr>
        <w:pStyle w:val="BodyText"/>
      </w:pPr>
      <w:hyperlink r:id="rId37">
        <w:r>
          <w:rPr>
            <w:rStyle w:val="Hyperlink"/>
          </w:rPr>
          <w:t xml:space="preserve">ESS Website</w:t>
        </w:r>
      </w:hyperlink>
    </w:p>
    <w:p>
      <w:pPr>
        <w:pStyle w:val="BodyText"/>
      </w:pPr>
      <w:r>
        <w:t xml:space="preserve">The main data source for this project is the European Social Survey (ESS). Most of the analysis is based on a core question that was asked across all 11 rounds since 2002. In addition, we also explore several questions from the module on welfare attitudes that was fielded in 2008 and 2016.</w:t>
      </w:r>
    </w:p>
    <w:bookmarkStart w:id="42" w:name="response-variable-1"/>
    <w:p>
      <w:pPr>
        <w:pStyle w:val="Heading4"/>
      </w:pPr>
      <w:r>
        <w:t xml:space="preserve">Response variable</w:t>
      </w:r>
    </w:p>
    <w:p>
      <w:pPr>
        <w:pStyle w:val="FirstParagraph"/>
      </w:pPr>
      <w:r>
        <w:t xml:space="preserve">Here is the main response variable from the European Social Survey that was administered across all 11 rounds: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daniel.capistrano\AppData\Local\Program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p>
          <w:p>
            <w:pPr>
              <w:pStyle w:val="BodyText"/>
            </w:pPr>
            <w:pPr>
              <w:spacing w:after="16"/>
            </w:pPr>
            <w:r>
              <w:t xml:space="preserve">1 Agree strongly</w:t>
            </w:r>
            <w:r>
              <w:br/>
            </w:r>
            <w:r>
              <w:t xml:space="preserve">2 Agree</w:t>
            </w:r>
            <w:r>
              <w:br/>
            </w:r>
            <w:r>
              <w:t xml:space="preserve">3 Neither agree nor disagree</w:t>
            </w:r>
            <w:r>
              <w:br/>
            </w:r>
            <w:r>
              <w:t xml:space="preserve">4 Disagree</w:t>
            </w:r>
            <w:r>
              <w:br/>
            </w:r>
            <w:r>
              <w:t xml:space="preserve">5 Disagree strongly</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daniel.capistrano\AppData\Local\Programs\Quarto\share\formats\docx\warning.png" id="4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original scale of this variable was inverted for this analysis. So, in the results presented here, higher values denote stronger agreement with government reducing income differences.</w:t>
            </w:r>
          </w:p>
        </w:tc>
      </w:tr>
    </w:tbl>
    <w:p>
      <w:pPr>
        <w:pStyle w:val="BodyText"/>
      </w:pPr>
      <w:r>
        <w:t xml:space="preserve">Some recent studies have raised concerns in relation to the reliability of this question as a measurement of support for redistribution. Margalit and Raviv</w:t>
      </w:r>
      <w:r>
        <w:t xml:space="preserve"> </w:t>
      </w:r>
      <w:r>
        <w:t xml:space="preserve">(</w:t>
      </w:r>
      <w:hyperlink w:anchor="ref-margalit_does_2024">
        <w:r>
          <w:rPr>
            <w:rStyle w:val="Hyperlink"/>
          </w:rPr>
          <w:t xml:space="preserve">2024</w:t>
        </w:r>
      </w:hyperlink>
      <w:r>
        <w:t xml:space="preserve">)</w:t>
      </w:r>
      <w:r>
        <w:t xml:space="preserve"> </w:t>
      </w:r>
      <w:r>
        <w:t xml:space="preserve">argues that reduction in income differences is too abstract and respondents in general do not link it to redistributive measures. Similarly, it has been suggested that this question only captures a diffuse inclination to equality and that is why responses are inconsistent with voting preferences across countries</w:t>
      </w:r>
      <w:r>
        <w:t xml:space="preserve"> </w:t>
      </w:r>
      <w:r>
        <w:t xml:space="preserve">Dallinger (</w:t>
      </w:r>
      <w:hyperlink w:anchor="ref-dallinger_ambivalence_2022">
        <w:r>
          <w:rPr>
            <w:rStyle w:val="Hyperlink"/>
          </w:rPr>
          <w:t xml:space="preserve">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 support for concrete policies) is due to the ommission of views on government (trust and perceptions of corruption) as a moderating variable.</w:t>
      </w:r>
    </w:p>
    <w:bookmarkEnd w:id="42"/>
    <w:bookmarkStart w:id="43" w:name="relevant-variables-1"/>
    <w:p>
      <w:pPr>
        <w:pStyle w:val="Heading4"/>
      </w:pPr>
      <w:r>
        <w:t xml:space="preserve">Relevant variables</w:t>
      </w:r>
    </w:p>
    <w:p>
      <w:pPr>
        <w:pStyle w:val="FirstParagraph"/>
      </w:pPr>
      <w:r>
        <w:t xml:space="preserve">Here are relevant variables from the latest three waves that were also included in the analysis.</w:t>
      </w:r>
    </w:p>
    <w:p>
      <w:pPr>
        <w:pStyle w:val="Compact"/>
        <w:numPr>
          <w:ilvl w:val="0"/>
          <w:numId w:val="1004"/>
        </w:numPr>
      </w:pPr>
      <w:r>
        <w:t xml:space="preserve">Placement on left right scale</w:t>
      </w:r>
      <w:r>
        <w:br/>
      </w:r>
    </w:p>
    <w:p>
      <w:pPr>
        <w:pStyle w:val="Compact"/>
        <w:numPr>
          <w:ilvl w:val="0"/>
          <w:numId w:val="1004"/>
        </w:numPr>
      </w:pPr>
      <w:r>
        <w:t xml:space="preserve">Citizen of country</w:t>
      </w:r>
      <w:r>
        <w:br/>
      </w:r>
    </w:p>
    <w:p>
      <w:pPr>
        <w:pStyle w:val="Compact"/>
        <w:numPr>
          <w:ilvl w:val="0"/>
          <w:numId w:val="1004"/>
        </w:numPr>
      </w:pPr>
      <w:r>
        <w:t xml:space="preserve">Born in country</w:t>
      </w:r>
      <w:r>
        <w:br/>
      </w:r>
    </w:p>
    <w:p>
      <w:pPr>
        <w:pStyle w:val="Compact"/>
        <w:numPr>
          <w:ilvl w:val="0"/>
          <w:numId w:val="1004"/>
        </w:numPr>
      </w:pPr>
      <w:r>
        <w:t xml:space="preserve">Gender</w:t>
      </w:r>
      <w:r>
        <w:br/>
      </w:r>
    </w:p>
    <w:p>
      <w:pPr>
        <w:pStyle w:val="Compact"/>
        <w:numPr>
          <w:ilvl w:val="0"/>
          <w:numId w:val="1004"/>
        </w:numPr>
      </w:pPr>
      <w:r>
        <w:t xml:space="preserve">Year of birth</w:t>
      </w:r>
      <w:r>
        <w:br/>
      </w:r>
    </w:p>
    <w:p>
      <w:pPr>
        <w:pStyle w:val="Compact"/>
        <w:numPr>
          <w:ilvl w:val="0"/>
          <w:numId w:val="1004"/>
        </w:numPr>
      </w:pPr>
      <w:r>
        <w:t xml:space="preserve">Highest level of education</w:t>
      </w:r>
      <w:r>
        <w:br/>
      </w:r>
    </w:p>
    <w:p>
      <w:pPr>
        <w:pStyle w:val="Compact"/>
        <w:numPr>
          <w:ilvl w:val="0"/>
          <w:numId w:val="1004"/>
        </w:numPr>
      </w:pPr>
      <w:r>
        <w:t xml:space="preserve">Feeling about household’s income nowadays</w:t>
      </w:r>
    </w:p>
    <w:p>
      <w:pPr>
        <w:pStyle w:val="FirstParagraph"/>
      </w:pPr>
      <w:r>
        <w:t xml:space="preserve">In addition, based on the class scheme developed by Oesch</w:t>
      </w:r>
      <w:r>
        <w:t xml:space="preserve"> </w:t>
      </w:r>
      <w:r>
        <w:t xml:space="preserve">(</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based on occupational variables and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bookmarkEnd w:id="43"/>
    <w:bookmarkEnd w:id="44"/>
    <w:bookmarkEnd w:id="45"/>
    <w:bookmarkEnd w:id="46"/>
    <w:bookmarkStart w:id="78" w:name="public-support-for-income-redistribution"/>
    <w:p>
      <w:pPr>
        <w:pStyle w:val="Heading1"/>
      </w:pPr>
      <w:r>
        <w:t xml:space="preserve">Public support for income redistribution</w:t>
      </w:r>
    </w:p>
    <w:bookmarkStart w:id="55" w:name="over-time"/>
    <w:p>
      <w:pPr>
        <w:pStyle w:val="Heading2"/>
      </w:pPr>
      <w:r>
        <w:t xml:space="preserve">Over time</w:t>
      </w:r>
    </w:p>
    <w:p>
      <w:pPr>
        <w:pStyle w:val="FirstParagraph"/>
      </w:pPr>
      <w:r>
        <w:t xml:space="preserve">The</w:t>
      </w:r>
      <w:r>
        <w:t xml:space="preserve"> </w:t>
      </w:r>
      <w:hyperlink w:anchor="fig-ess-time">
        <w:r>
          <w:rPr>
            <w:rStyle w:val="Hyperlink"/>
          </w:rPr>
          <w:t xml:space="preserve">Figure 1</w:t>
        </w:r>
      </w:hyperlink>
      <w:r>
        <w:t xml:space="preserve"> </w:t>
      </w:r>
      <w:r>
        <w:t xml:space="preserve">below shows the mean values for</w:t>
      </w:r>
      <w:r>
        <w:t xml:space="preserve"> </w:t>
      </w:r>
      <w:r>
        <w:t xml:space="preserve">‘Government should reduce income differences’</w:t>
      </w:r>
      <w:r>
        <w:t xml:space="preserve"> </w:t>
      </w:r>
      <w:r>
        <w:t xml:space="preserve">by round. Overall there is a stable agreement (mean = 3.8). Rounds 5-7 (2010-2014) as well as 10-11(2022-2024) show a slightly higher agreement compared to other rounds.</w:t>
      </w:r>
    </w:p>
    <w:tbl>
      <w:tblPr>
        <w:tblStyle w:val="Table"/>
        <w:tblW w:type="pct" w:w="5000"/>
        <w:tblLayout w:type="fixed"/>
        <w:tblLook w:firstRow="0" w:lastRow="0" w:firstColumn="0" w:lastColumn="0" w:noHBand="0" w:noVBand="0" w:val="0000"/>
      </w:tblPr>
      <w:tblGrid>
        <w:gridCol w:w="7920"/>
      </w:tblGrid>
      <w:tr>
        <w:tc>
          <w:tcPr/>
          <w:bookmarkStart w:id="50" w:name="fig-ess-time"/>
          <w:p>
            <w:pPr>
              <w:jc w:val="center"/>
            </w:pPr>
            <w:pPr>
              <w:jc w:val="start"/>
              <w:spacing w:before="200"/>
              <w:pStyle w:val="ImageCaption"/>
            </w:pPr>
            <w:r>
              <w:t xml:space="preserve">Figure 1: Mean values for</w:t>
            </w:r>
            <w:r>
              <w:t xml:space="preserve"> </w:t>
            </w:r>
            <w:r>
              <w:t xml:space="preserve">‘Government should reduce income differences’</w:t>
            </w:r>
            <w:r>
              <w:t xml:space="preserve"> </w:t>
            </w:r>
            <w:r>
              <w:t xml:space="preserve">by round</w:t>
            </w:r>
          </w:p>
          <w:p>
            <w:pPr>
              <w:pStyle w:val="Compact"/>
              <w:jc w:val="center"/>
            </w:pPr>
            <w:r>
              <w:drawing>
                <wp:inline>
                  <wp:extent cx="5334000" cy="2611896"/>
                  <wp:effectExtent b="0" l="0" r="0" t="0"/>
                  <wp:docPr descr="" title="" id="48" name="Picture"/>
                  <a:graphic>
                    <a:graphicData uri="http://schemas.openxmlformats.org/drawingml/2006/picture">
                      <pic:pic>
                        <pic:nvPicPr>
                          <pic:cNvPr descr="report_files/figure-docx/fig-ess-time-1.png" id="49" name="Picture"/>
                          <pic:cNvPicPr>
                            <a:picLocks noChangeArrowheads="1" noChangeAspect="1"/>
                          </pic:cNvPicPr>
                        </pic:nvPicPr>
                        <pic:blipFill>
                          <a:blip r:embed="rId47"/>
                          <a:stretch>
                            <a:fillRect/>
                          </a:stretch>
                        </pic:blipFill>
                        <pic:spPr bwMode="auto">
                          <a:xfrm>
                            <a:off x="0" y="0"/>
                            <a:ext cx="5334000" cy="2611896"/>
                          </a:xfrm>
                          <a:prstGeom prst="rect">
                            <a:avLst/>
                          </a:prstGeom>
                          <a:noFill/>
                          <a:ln w="9525">
                            <a:noFill/>
                            <a:headEnd/>
                            <a:tailEnd/>
                          </a:ln>
                        </pic:spPr>
                      </pic:pic>
                    </a:graphicData>
                  </a:graphic>
                </wp:inline>
              </w:drawing>
            </w:r>
          </w:p>
          <w:bookmarkEnd w:id="50"/>
        </w:tc>
      </w:tr>
    </w:tbl>
    <w:p>
      <w:pPr>
        <w:pStyle w:val="BodyText"/>
      </w:pPr>
      <w:hyperlink w:anchor="fig-vs-time">
        <w:r>
          <w:rPr>
            <w:rStyle w:val="Hyperlink"/>
          </w:rPr>
          <w:t xml:space="preserve">Figure 2</w:t>
        </w:r>
      </w:hyperlink>
      <w:r>
        <w:t xml:space="preserve"> </w:t>
      </w:r>
      <w:r>
        <w:t xml:space="preserve">shows the density of responses for the scale on support for redistribution of wealth. The mean values are similar for 2014, 2019 and 2024. However, the distribution seems is less skewed in 2024 compared to 2014.</w:t>
      </w:r>
    </w:p>
    <w:tbl>
      <w:tblPr>
        <w:tblStyle w:val="Table"/>
        <w:tblW w:type="pct" w:w="5000"/>
        <w:tblLayout w:type="fixed"/>
        <w:tblLook w:firstRow="0" w:lastRow="0" w:firstColumn="0" w:lastColumn="0" w:noHBand="0" w:noVBand="0" w:val="0000"/>
      </w:tblPr>
      <w:tblGrid>
        <w:gridCol w:w="7920"/>
      </w:tblGrid>
      <w:tr>
        <w:tc>
          <w:tcPr/>
          <w:bookmarkStart w:id="54" w:name="fig-vs-time"/>
          <w:p>
            <w:pPr>
              <w:jc w:val="center"/>
            </w:pPr>
            <w:pPr>
              <w:jc w:val="start"/>
              <w:spacing w:before="200"/>
              <w:pStyle w:val="ImageCaption"/>
            </w:pPr>
            <w:r>
              <w:t xml:space="preserve">Figure 2: Density plot for</w:t>
            </w:r>
            <w:r>
              <w:t xml:space="preserve"> </w:t>
            </w:r>
            <w:r>
              <w:t xml:space="preserve">‘in favour of redistribution of wealth’</w:t>
            </w:r>
            <w:r>
              <w:t xml:space="preserve"> </w:t>
            </w:r>
            <w:r>
              <w:t xml:space="preserve">by survey year</w:t>
            </w:r>
          </w:p>
          <w:p>
            <w:pPr>
              <w:pStyle w:val="Compact"/>
              <w:jc w:val="center"/>
            </w:pPr>
            <w:r>
              <w:drawing>
                <wp:inline>
                  <wp:extent cx="1848050" cy="3696101"/>
                  <wp:effectExtent b="0" l="0" r="0" t="0"/>
                  <wp:docPr descr="" title="" id="52" name="Picture"/>
                  <a:graphic>
                    <a:graphicData uri="http://schemas.openxmlformats.org/drawingml/2006/picture">
                      <pic:pic>
                        <pic:nvPicPr>
                          <pic:cNvPr descr="report_files/figure-docx/fig-vs-time-1.png" id="53" name="Picture"/>
                          <pic:cNvPicPr>
                            <a:picLocks noChangeArrowheads="1" noChangeAspect="1"/>
                          </pic:cNvPicPr>
                        </pic:nvPicPr>
                        <pic:blipFill>
                          <a:blip r:embed="rId51"/>
                          <a:stretch>
                            <a:fillRect/>
                          </a:stretch>
                        </pic:blipFill>
                        <pic:spPr bwMode="auto">
                          <a:xfrm>
                            <a:off x="0" y="0"/>
                            <a:ext cx="1848050" cy="3696101"/>
                          </a:xfrm>
                          <a:prstGeom prst="rect">
                            <a:avLst/>
                          </a:prstGeom>
                          <a:noFill/>
                          <a:ln w="9525">
                            <a:noFill/>
                            <a:headEnd/>
                            <a:tailEnd/>
                          </a:ln>
                        </pic:spPr>
                      </pic:pic>
                    </a:graphicData>
                  </a:graphic>
                </wp:inline>
              </w:drawing>
            </w:r>
          </w:p>
          <w:bookmarkEnd w:id="54"/>
        </w:tc>
      </w:tr>
    </w:tbl>
    <w:bookmarkEnd w:id="55"/>
    <w:bookmarkStart w:id="57" w:name="gender"/>
    <w:p>
      <w:pPr>
        <w:pStyle w:val="Heading2"/>
      </w:pPr>
      <w:r>
        <w:t xml:space="preserve">Gender</w:t>
      </w:r>
    </w:p>
    <w:p>
      <w:pPr>
        <w:pStyle w:val="FirstParagraph"/>
      </w:pPr>
      <w:r>
        <w:t xml:space="preserve">The</w:t>
      </w:r>
      <w:r>
        <w:t xml:space="preserve"> </w:t>
      </w:r>
      <w:hyperlink w:anchor="tbl-gender">
        <w:r>
          <w:rPr>
            <w:rStyle w:val="Hyperlink"/>
          </w:rPr>
          <w:t xml:space="preserve">Table 1</w:t>
        </w:r>
      </w:hyperlink>
      <w:r>
        <w:t xml:space="preserve"> </w:t>
      </w:r>
      <w:r>
        <w:t xml:space="preserve">shows the mean values for the main response variable in each study in 2024 by gender.</w:t>
      </w:r>
    </w:p>
    <w:tbl>
      <w:tblPr>
        <w:tblStyle w:val="Table"/>
        <w:tblW w:type="pct" w:w="5000"/>
        <w:tblLayout w:type="fixed"/>
        <w:tblLook w:firstRow="0" w:lastRow="0" w:firstColumn="0" w:lastColumn="0" w:noHBand="0" w:noVBand="0" w:val="0000"/>
      </w:tblPr>
      <w:tblGrid>
        <w:gridCol w:w="7920"/>
      </w:tblGrid>
      <w:tr>
        <w:tc>
          <w:tcPr/>
          <w:bookmarkStart w:id="56" w:name="tbl-gender"/>
          <w:p>
            <w:pPr>
              <w:jc w:val="center"/>
            </w:pPr>
            <w:pPr>
              <w:jc w:val="start"/>
              <w:spacing w:before="200"/>
              <w:pStyle w:val="ImageCaption"/>
            </w:pPr>
            <w:r>
              <w:t xml:space="preserve">Table 1: Mean values by gender and study in 2024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Gender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r>
          </w:tbl>
          <w:bookmarkEnd w:id="56"/>
        </w:tc>
      </w:tr>
    </w:tbl>
    <w:bookmarkEnd w:id="57"/>
    <w:bookmarkStart w:id="66" w:name="age"/>
    <w:p>
      <w:pPr>
        <w:pStyle w:val="Heading2"/>
      </w:pPr>
      <w:r>
        <w:t xml:space="preserve">Age</w:t>
      </w:r>
    </w:p>
    <w:p>
      <w:pPr>
        <w:pStyle w:val="FirstParagraph"/>
      </w:pPr>
      <w:r>
        <w:t xml:space="preserve">The relationship between age and the response variable seems to change across rounds. As shown in</w:t>
      </w:r>
      <w:r>
        <w:t xml:space="preserve"> </w:t>
      </w:r>
      <w:hyperlink w:anchor="fig-ess-age">
        <w:r>
          <w:rPr>
            <w:rStyle w:val="Hyperlink"/>
          </w:rPr>
          <w:t xml:space="preserve">Figure 3</w:t>
        </w:r>
      </w:hyperlink>
      <w:r>
        <w:t xml:space="preserve">, early rounds suggest that older respondents support more the government reducing income differences, whereas the latest round (11) and round 8 seem to indicate the opposite.</w:t>
      </w:r>
    </w:p>
    <w:p>
      <w:pPr>
        <w:pStyle w:val="Heading3"/>
      </w:pPr>
      <w:r>
        <w:t xml:space="preserve">ESS</w:t>
      </w:r>
    </w:p>
    <w:tbl>
      <w:tblPr>
        <w:tblStyle w:val="Table"/>
        <w:tblW w:type="pct" w:w="5000"/>
        <w:tblLayout w:type="fixed"/>
        <w:tblLook w:firstRow="0" w:lastRow="0" w:firstColumn="0" w:lastColumn="0" w:noHBand="0" w:noVBand="0" w:val="0000"/>
      </w:tblPr>
      <w:tblGrid>
        <w:gridCol w:w="7920"/>
      </w:tblGrid>
      <w:tr>
        <w:tc>
          <w:tcPr/>
          <w:bookmarkStart w:id="61" w:name="fig-ess-age"/>
          <w:p>
            <w:pPr>
              <w:jc w:val="center"/>
            </w:pPr>
            <w:pPr>
              <w:jc w:val="start"/>
              <w:spacing w:before="200"/>
              <w:pStyle w:val="ImageCaption"/>
            </w:pPr>
            <w:r>
              <w:t xml:space="preserve">Figure 3: Scatter plot for</w:t>
            </w:r>
            <w:r>
              <w:t xml:space="preserve"> </w:t>
            </w:r>
            <w:r>
              <w:t xml:space="preserve">‘Government should reduce income differences’</w:t>
            </w:r>
            <w:r>
              <w:t xml:space="preserve"> </w:t>
            </w:r>
            <w:r>
              <w:t xml:space="preserve">by age and round</w:t>
            </w:r>
          </w:p>
          <w:p>
            <w:pPr>
              <w:pStyle w:val="Compact"/>
              <w:jc w:val="center"/>
            </w:pPr>
            <w:r>
              <w:drawing>
                <wp:inline>
                  <wp:extent cx="1848050" cy="3696101"/>
                  <wp:effectExtent b="0" l="0" r="0" t="0"/>
                  <wp:docPr descr="" title="" id="59" name="Picture"/>
                  <a:graphic>
                    <a:graphicData uri="http://schemas.openxmlformats.org/drawingml/2006/picture">
                      <pic:pic>
                        <pic:nvPicPr>
                          <pic:cNvPr descr="report_files/figure-docx/fig-ess-age-1.png" id="60" name="Picture"/>
                          <pic:cNvPicPr>
                            <a:picLocks noChangeArrowheads="1" noChangeAspect="1"/>
                          </pic:cNvPicPr>
                        </pic:nvPicPr>
                        <pic:blipFill>
                          <a:blip r:embed="rId58"/>
                          <a:stretch>
                            <a:fillRect/>
                          </a:stretch>
                        </pic:blipFill>
                        <pic:spPr bwMode="auto">
                          <a:xfrm>
                            <a:off x="0" y="0"/>
                            <a:ext cx="1848050" cy="3696101"/>
                          </a:xfrm>
                          <a:prstGeom prst="rect">
                            <a:avLst/>
                          </a:prstGeom>
                          <a:noFill/>
                          <a:ln w="9525">
                            <a:noFill/>
                            <a:headEnd/>
                            <a:tailEnd/>
                          </a:ln>
                        </pic:spPr>
                      </pic:pic>
                    </a:graphicData>
                  </a:graphic>
                </wp:inline>
              </w:drawing>
            </w:r>
          </w:p>
          <w:bookmarkEnd w:id="61"/>
        </w:tc>
      </w:tr>
    </w:tbl>
    <w:p>
      <w:pPr>
        <w:pStyle w:val="Heading3"/>
      </w:pPr>
      <w:r>
        <w:t xml:space="preserve">VS</w:t>
      </w:r>
    </w:p>
    <w:tbl>
      <w:tblPr>
        <w:tblStyle w:val="Table"/>
        <w:tblW w:type="pct" w:w="5000"/>
        <w:tblLayout w:type="fixed"/>
        <w:tblLook w:firstRow="0" w:lastRow="0" w:firstColumn="0" w:lastColumn="0" w:noHBand="0" w:noVBand="0" w:val="0000"/>
      </w:tblPr>
      <w:tblGrid>
        <w:gridCol w:w="7920"/>
      </w:tblGrid>
      <w:tr>
        <w:tc>
          <w:tcPr/>
          <w:bookmarkStart w:id="65" w:name="fig-vs-age"/>
          <w:p>
            <w:pPr>
              <w:jc w:val="center"/>
            </w:pPr>
            <w:pPr>
              <w:jc w:val="start"/>
              <w:spacing w:before="200"/>
              <w:pStyle w:val="ImageCaption"/>
            </w:pPr>
            <w:r>
              <w:t xml:space="preserve">Figure 4: Scatter plot for</w:t>
            </w:r>
            <w:r>
              <w:t xml:space="preserve"> </w:t>
            </w:r>
            <w:r>
              <w:t xml:space="preserve">‘wealth redistribution’</w:t>
            </w:r>
            <w:r>
              <w:t xml:space="preserve"> </w:t>
            </w:r>
            <w:r>
              <w:t xml:space="preserve">by age and study</w:t>
            </w:r>
          </w:p>
          <w:p>
            <w:pPr>
              <w:pStyle w:val="Compact"/>
              <w:jc w:val="center"/>
            </w:pPr>
            <w:r>
              <w:drawing>
                <wp:inline>
                  <wp:extent cx="1848050" cy="3696101"/>
                  <wp:effectExtent b="0" l="0" r="0" t="0"/>
                  <wp:docPr descr="" title="" id="63" name="Picture"/>
                  <a:graphic>
                    <a:graphicData uri="http://schemas.openxmlformats.org/drawingml/2006/picture">
                      <pic:pic>
                        <pic:nvPicPr>
                          <pic:cNvPr descr="report_files/figure-docx/fig-vs-age-1.png" id="64" name="Picture"/>
                          <pic:cNvPicPr>
                            <a:picLocks noChangeArrowheads="1" noChangeAspect="1"/>
                          </pic:cNvPicPr>
                        </pic:nvPicPr>
                        <pic:blipFill>
                          <a:blip r:embed="rId62"/>
                          <a:stretch>
                            <a:fillRect/>
                          </a:stretch>
                        </pic:blipFill>
                        <pic:spPr bwMode="auto">
                          <a:xfrm>
                            <a:off x="0" y="0"/>
                            <a:ext cx="1848050" cy="3696101"/>
                          </a:xfrm>
                          <a:prstGeom prst="rect">
                            <a:avLst/>
                          </a:prstGeom>
                          <a:noFill/>
                          <a:ln w="9525">
                            <a:noFill/>
                            <a:headEnd/>
                            <a:tailEnd/>
                          </a:ln>
                        </pic:spPr>
                      </pic:pic>
                    </a:graphicData>
                  </a:graphic>
                </wp:inline>
              </w:drawing>
            </w:r>
          </w:p>
          <w:bookmarkEnd w:id="65"/>
        </w:tc>
      </w:tr>
    </w:tbl>
    <w:bookmarkEnd w:id="66"/>
    <w:bookmarkStart w:id="75" w:name="social-class"/>
    <w:p>
      <w:pPr>
        <w:pStyle w:val="Heading2"/>
      </w:pPr>
      <w:r>
        <w:t xml:space="preserve">Social class</w:t>
      </w:r>
    </w:p>
    <w:p>
      <w:pPr>
        <w:pStyle w:val="FirstParagraph"/>
      </w:pPr>
      <w:hyperlink w:anchor="fig-class5">
        <w:r>
          <w:rPr>
            <w:rStyle w:val="Hyperlink"/>
          </w:rPr>
          <w:t xml:space="preserve">Figure 5</w:t>
        </w:r>
      </w:hyperlink>
      <w:r>
        <w:t xml:space="preserve"> </w:t>
      </w:r>
      <w:r>
        <w:t xml:space="preserve">suggests a negative relationship between social class and the main ESS response variable. The higher the social class, the lower the support for the government to reduce income differences.</w:t>
      </w:r>
    </w:p>
    <w:p>
      <w:pPr>
        <w:pStyle w:val="Heading3"/>
      </w:pPr>
      <w:r>
        <w:t xml:space="preserve">5 groups</w:t>
      </w:r>
    </w:p>
    <w:tbl>
      <w:tblPr>
        <w:tblStyle w:val="Table"/>
        <w:tblW w:type="pct" w:w="5000"/>
        <w:tblLayout w:type="fixed"/>
        <w:tblLook w:firstRow="0" w:lastRow="0" w:firstColumn="0" w:lastColumn="0" w:noHBand="0" w:noVBand="0" w:val="0000"/>
      </w:tblPr>
      <w:tblGrid>
        <w:gridCol w:w="7920"/>
      </w:tblGrid>
      <w:tr>
        <w:tc>
          <w:tcPr/>
          <w:bookmarkStart w:id="70" w:name="fig-class5"/>
          <w:p>
            <w:pPr>
              <w:jc w:val="center"/>
            </w:pPr>
            <w:pPr>
              <w:jc w:val="start"/>
              <w:spacing w:before="200"/>
              <w:pStyle w:val="ImageCaption"/>
            </w:pPr>
            <w:r>
              <w:t xml:space="preserve">Figure 5: Scatter plot for</w:t>
            </w:r>
            <w:r>
              <w:t xml:space="preserve"> </w:t>
            </w:r>
            <w:r>
              <w:t xml:space="preserve">‘income differences’</w:t>
            </w:r>
            <w:r>
              <w:t xml:space="preserve"> </w:t>
            </w:r>
            <w:r>
              <w:t xml:space="preserve">by social class (5 groups) and round</w:t>
            </w:r>
          </w:p>
          <w:p>
            <w:pPr>
              <w:pStyle w:val="Compact"/>
              <w:jc w:val="center"/>
            </w:pPr>
            <w:r>
              <w:drawing>
                <wp:inline>
                  <wp:extent cx="1848050" cy="3696101"/>
                  <wp:effectExtent b="0" l="0" r="0" t="0"/>
                  <wp:docPr descr="" title="" id="68" name="Picture"/>
                  <a:graphic>
                    <a:graphicData uri="http://schemas.openxmlformats.org/drawingml/2006/picture">
                      <pic:pic>
                        <pic:nvPicPr>
                          <pic:cNvPr descr="report_files/figure-docx/fig-class5-1.png" id="69" name="Picture"/>
                          <pic:cNvPicPr>
                            <a:picLocks noChangeArrowheads="1" noChangeAspect="1"/>
                          </pic:cNvPicPr>
                        </pic:nvPicPr>
                        <pic:blipFill>
                          <a:blip r:embed="rId67"/>
                          <a:stretch>
                            <a:fillRect/>
                          </a:stretch>
                        </pic:blipFill>
                        <pic:spPr bwMode="auto">
                          <a:xfrm>
                            <a:off x="0" y="0"/>
                            <a:ext cx="1848050" cy="3696101"/>
                          </a:xfrm>
                          <a:prstGeom prst="rect">
                            <a:avLst/>
                          </a:prstGeom>
                          <a:noFill/>
                          <a:ln w="9525">
                            <a:noFill/>
                            <a:headEnd/>
                            <a:tailEnd/>
                          </a:ln>
                        </pic:spPr>
                      </pic:pic>
                    </a:graphicData>
                  </a:graphic>
                </wp:inline>
              </w:drawing>
            </w:r>
          </w:p>
          <w:bookmarkEnd w:id="70"/>
        </w:tc>
      </w:tr>
    </w:tbl>
    <w:p>
      <w:pPr>
        <w:pStyle w:val="Heading3"/>
      </w:pPr>
      <w:r>
        <w:t xml:space="preserve">16 groups</w:t>
      </w:r>
    </w:p>
    <w:tbl>
      <w:tblPr>
        <w:tblStyle w:val="Table"/>
        <w:tblW w:type="pct" w:w="5000"/>
        <w:tblLayout w:type="fixed"/>
        <w:tblLook w:firstRow="0" w:lastRow="0" w:firstColumn="0" w:lastColumn="0" w:noHBand="0" w:noVBand="0" w:val="0000"/>
      </w:tblPr>
      <w:tblGrid>
        <w:gridCol w:w="7920"/>
      </w:tblGrid>
      <w:tr>
        <w:tc>
          <w:tcPr/>
          <w:bookmarkStart w:id="74" w:name="fig-class16"/>
          <w:p>
            <w:pPr>
              <w:jc w:val="center"/>
            </w:pPr>
            <w:pPr>
              <w:jc w:val="start"/>
              <w:spacing w:before="200"/>
              <w:pStyle w:val="ImageCaption"/>
            </w:pPr>
            <w:r>
              <w:t xml:space="preserve">Figure 6: Scatter plot for</w:t>
            </w:r>
            <w:r>
              <w:t xml:space="preserve"> </w:t>
            </w:r>
            <w:r>
              <w:t xml:space="preserve">‘income differences’</w:t>
            </w:r>
            <w:r>
              <w:t xml:space="preserve"> </w:t>
            </w:r>
            <w:r>
              <w:t xml:space="preserve">by social class (16 groups) and round</w:t>
            </w:r>
          </w:p>
          <w:p>
            <w:pPr>
              <w:pStyle w:val="Compact"/>
              <w:jc w:val="center"/>
            </w:pPr>
            <w:r>
              <w:drawing>
                <wp:inline>
                  <wp:extent cx="1848050" cy="3696101"/>
                  <wp:effectExtent b="0" l="0" r="0" t="0"/>
                  <wp:docPr descr="" title="" id="72" name="Picture"/>
                  <a:graphic>
                    <a:graphicData uri="http://schemas.openxmlformats.org/drawingml/2006/picture">
                      <pic:pic>
                        <pic:nvPicPr>
                          <pic:cNvPr descr="report_files/figure-docx/fig-class16-1.png" id="73" name="Picture"/>
                          <pic:cNvPicPr>
                            <a:picLocks noChangeArrowheads="1" noChangeAspect="1"/>
                          </pic:cNvPicPr>
                        </pic:nvPicPr>
                        <pic:blipFill>
                          <a:blip r:embed="rId71"/>
                          <a:stretch>
                            <a:fillRect/>
                          </a:stretch>
                        </pic:blipFill>
                        <pic:spPr bwMode="auto">
                          <a:xfrm>
                            <a:off x="0" y="0"/>
                            <a:ext cx="1848050" cy="3696101"/>
                          </a:xfrm>
                          <a:prstGeom prst="rect">
                            <a:avLst/>
                          </a:prstGeom>
                          <a:noFill/>
                          <a:ln w="9525">
                            <a:noFill/>
                            <a:headEnd/>
                            <a:tailEnd/>
                          </a:ln>
                        </pic:spPr>
                      </pic:pic>
                    </a:graphicData>
                  </a:graphic>
                </wp:inline>
              </w:drawing>
            </w:r>
          </w:p>
          <w:bookmarkEnd w:id="74"/>
        </w:tc>
      </w:tr>
    </w:tbl>
    <w:bookmarkEnd w:id="75"/>
    <w:bookmarkStart w:id="77" w:name="multivariate"/>
    <w:p>
      <w:pPr>
        <w:pStyle w:val="Heading2"/>
      </w:pPr>
      <w:r>
        <w:t xml:space="preserve">Multivariate</w:t>
      </w:r>
    </w:p>
    <w:p>
      <w:pPr>
        <w:pStyle w:val="FirstParagraph"/>
      </w:pPr>
      <w:r>
        <w:t xml:space="preserve">The</w:t>
      </w:r>
      <w:r>
        <w:t xml:space="preserve"> </w:t>
      </w:r>
      <w:hyperlink w:anchor="tbl-multiv-gincdif">
        <w:r>
          <w:rPr>
            <w:rStyle w:val="Hyperlink"/>
          </w:rPr>
          <w:t xml:space="preserve">Table 2</w:t>
        </w:r>
      </w:hyperlink>
      <w:r>
        <w:t xml:space="preserve"> </w:t>
      </w:r>
      <w:r>
        <w:t xml:space="preserve">below shows the coefficients of an OLS regression model on the support for government reducing differences in income levels. The overall explanatory power of the model is low. The effect of age seems to be neglectable. Both the social class and subjective income suggest that respondents in more precarious economic situation tend to be more favourable of the government reducing income differences.</w:t>
      </w:r>
    </w:p>
    <w:tbl>
      <w:tblPr>
        <w:tblStyle w:val="Table"/>
        <w:tblW w:type="pct" w:w="5000"/>
        <w:tblLayout w:type="fixed"/>
        <w:tblLook w:firstRow="0" w:lastRow="0" w:firstColumn="0" w:lastColumn="0" w:noHBand="0" w:noVBand="0" w:val="0000"/>
      </w:tblPr>
      <w:tblGrid>
        <w:gridCol w:w="7920"/>
      </w:tblGrid>
      <w:tr>
        <w:tc>
          <w:tcPr/>
          <w:bookmarkStart w:id="76" w:name="tbl-multiv-gincdif"/>
          <w:p>
            <w:pPr>
              <w:jc w:val="center"/>
            </w:pPr>
            <w:pPr>
              <w:jc w:val="start"/>
              <w:spacing w:before="200"/>
              <w:pStyle w:val="ImageCaption"/>
            </w:pPr>
            <w:r>
              <w:t xml:space="preserve">Table 2: OLS regression coefficients for</w:t>
            </w:r>
            <w:r>
              <w:t xml:space="preserve"> </w:t>
            </w:r>
            <w:r>
              <w:t xml:space="preserve">‘income differences’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answer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Feeling about household's income nowadays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answer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default">CI = Confidence Interval</w:t>
                  </w:r>
                </w:p>
              </w:tc>
            </w:tr>
            <w:tr>
              <w:trPr>
                <w:cantSplit/>
              </w:trPr>
              <w:tc>
                <w:tcPr>
                  <w:gridSpan w:val="4"/>
                </w:tcPr>
                <w:p>
                  <w:pPr>
                    <w:spacing w:before="0" w:after="60"/>
                    <w:keepNext/>
                  </w:pPr>
                  <w:r>
                    <w:rPr>
                      <w:rFonts w:ascii="Calibri" w:hAnsi="Calibri"/>
                      <w:sz w:val="20"/>
                    </w:rPr>
                    <w:t xml:space="preserve">R² = 0.044; Adjusted R² = 0.043; Sigma = 0.949; Statistic = 41.5; p-value = &lt;0.001; df = 23; Log-likelihood = -30,207; AIC = 60,463; BIC = 60,662; Deviance = 18,708; Residual df = 20,772; No. Obs. = 20,796</w:t>
                  </w:r>
                </w:p>
              </w:tc>
            </w:tr>
            <w:tr>
              <w:trPr>
                <w:cantSplit/>
              </w:trPr>
              <w:tc>
                <w:tcPr>
                  <w:gridSpan w:val="4"/>
                </w:tcPr>
                <w:p>
                  <w:pPr>
                    <w:spacing w:before="0" w:after="60"/>
                    <w:keepNext/>
                  </w:pPr>
                  <w:r>
                    <w:rPr>
                      <w:rFonts w:ascii="Calibri" w:hAnsi="Calibri"/>
                      <w:sz w:val="20"/>
                    </w:rPr>
                    <w:t xml:space="default">Time fixed effects (ESS Round) omitted from the table but included in the model</w:t>
                  </w:r>
                </w:p>
              </w:tc>
            </w:tr>
          </w:tbl>
          <w:bookmarkEnd w:id="76"/>
        </w:tc>
      </w:tr>
    </w:tbl>
    <w:bookmarkEnd w:id="77"/>
    <w:bookmarkEnd w:id="78"/>
    <w:bookmarkStart w:id="117" w:name="economic-crisis-and-covid19"/>
    <w:p>
      <w:pPr>
        <w:pStyle w:val="Heading1"/>
      </w:pPr>
      <w:r>
        <w:t xml:space="preserve">Economic crisis and Covid19</w:t>
      </w:r>
    </w:p>
    <w:p>
      <w:pPr>
        <w:pStyle w:val="FirstParagraph"/>
      </w:pPr>
      <w:r>
        <w:t xml:space="preserve">As shown in</w:t>
      </w:r>
      <w:r>
        <w:t xml:space="preserve"> </w:t>
      </w:r>
      <w:hyperlink w:anchor="fig-ess-time">
        <w:r>
          <w:rPr>
            <w:rStyle w:val="Hyperlink"/>
          </w:rPr>
          <w:t xml:space="preserve">Figure 1</w:t>
        </w:r>
      </w:hyperlink>
      <w:r>
        <w:t xml:space="preserve">, the ESS data indicates a slightly higher average support for redistribution after the 2008 economic crisis and after the 2022 Covid19 pandemic. Evidence from a survey experiment in the USA show that participants are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In this section we explore further the potential impact of the pandemic on support for redistribution.</w:t>
      </w:r>
    </w:p>
    <w:bookmarkStart w:id="87" w:name="time-series"/>
    <w:p>
      <w:pPr>
        <w:pStyle w:val="Heading2"/>
      </w:pPr>
      <w:r>
        <w:t xml:space="preserve">Time series</w:t>
      </w:r>
    </w:p>
    <w:p>
      <w:pPr>
        <w:pStyle w:val="FirstParagraph"/>
      </w:pPr>
      <w:hyperlink w:anchor="tbl-multiv-gincdif">
        <w:r>
          <w:rPr>
            <w:rStyle w:val="Hyperlink"/>
          </w:rPr>
          <w:t xml:space="preserve">Table 2</w:t>
        </w:r>
      </w:hyperlink>
      <w:r>
        <w:t xml:space="preserve"> </w:t>
      </w:r>
      <w:r>
        <w:t xml:space="preserve">suggests that both social class and feeling about household income are significant predictors of support for redistribution.</w:t>
      </w:r>
      <w:r>
        <w:t xml:space="preserve"> </w:t>
      </w:r>
      <w:hyperlink w:anchor="fig-hincfel-time">
        <w:r>
          <w:rPr>
            <w:rStyle w:val="Hyperlink"/>
          </w:rPr>
          <w:t xml:space="preserve">Figure 7</w:t>
        </w:r>
      </w:hyperlink>
      <w:r>
        <w:t xml:space="preserve"> </w:t>
      </w:r>
      <w:r>
        <w:t xml:space="preserve">shows that the difference between subjective income groups remains stable over time, with all groups responding similar to 2008 crisis and the pandemic.</w:t>
      </w:r>
    </w:p>
    <w:tbl>
      <w:tblPr>
        <w:tblStyle w:val="Table"/>
        <w:tblW w:type="pct" w:w="5000"/>
        <w:tblLayout w:type="fixed"/>
        <w:tblLook w:firstRow="0" w:lastRow="0" w:firstColumn="0" w:lastColumn="0" w:noHBand="0" w:noVBand="0" w:val="0000"/>
      </w:tblPr>
      <w:tblGrid>
        <w:gridCol w:w="7920"/>
      </w:tblGrid>
      <w:tr>
        <w:tc>
          <w:tcPr/>
          <w:bookmarkStart w:id="82" w:name="fig-hincfel-time"/>
          <w:p>
            <w:pPr>
              <w:jc w:val="center"/>
            </w:pPr>
            <w:pPr>
              <w:jc w:val="start"/>
              <w:spacing w:before="200"/>
              <w:pStyle w:val="ImageCaption"/>
            </w:pPr>
            <w:r>
              <w:t xml:space="preserve">Figure 7: Average support for redistribution by financial situation (2002-2022)</w:t>
            </w:r>
          </w:p>
          <w:p>
            <w:pPr>
              <w:pStyle w:val="Compact"/>
              <w:jc w:val="center"/>
            </w:pPr>
            <w:r>
              <w:drawing>
                <wp:inline>
                  <wp:extent cx="5334000" cy="2611896"/>
                  <wp:effectExtent b="0" l="0" r="0" t="0"/>
                  <wp:docPr descr="" title="" id="80" name="Picture"/>
                  <a:graphic>
                    <a:graphicData uri="http://schemas.openxmlformats.org/drawingml/2006/picture">
                      <pic:pic>
                        <pic:nvPicPr>
                          <pic:cNvPr descr="report_files/figure-docx/fig-hincfel-time-1.png" id="81" name="Picture"/>
                          <pic:cNvPicPr>
                            <a:picLocks noChangeArrowheads="1" noChangeAspect="1"/>
                          </pic:cNvPicPr>
                        </pic:nvPicPr>
                        <pic:blipFill>
                          <a:blip r:embed="rId79"/>
                          <a:stretch>
                            <a:fillRect/>
                          </a:stretch>
                        </pic:blipFill>
                        <pic:spPr bwMode="auto">
                          <a:xfrm>
                            <a:off x="0" y="0"/>
                            <a:ext cx="5334000" cy="2611896"/>
                          </a:xfrm>
                          <a:prstGeom prst="rect">
                            <a:avLst/>
                          </a:prstGeom>
                          <a:noFill/>
                          <a:ln w="9525">
                            <a:noFill/>
                            <a:headEnd/>
                            <a:tailEnd/>
                          </a:ln>
                        </pic:spPr>
                      </pic:pic>
                    </a:graphicData>
                  </a:graphic>
                </wp:inline>
              </w:drawing>
            </w:r>
          </w:p>
          <w:bookmarkEnd w:id="82"/>
        </w:tc>
      </w:tr>
    </w:tbl>
    <w:p>
      <w:pPr>
        <w:pStyle w:val="BodyText"/>
      </w:pPr>
      <w:r>
        <w:t xml:space="preserve">Conversely, the</w:t>
      </w:r>
      <w:r>
        <w:t xml:space="preserve"> </w:t>
      </w:r>
      <w:hyperlink w:anchor="fig-class5-time">
        <w:r>
          <w:rPr>
            <w:rStyle w:val="Hyperlink"/>
          </w:rPr>
          <w:t xml:space="preserve">Figure 8</w:t>
        </w:r>
      </w:hyperlink>
      <w:r>
        <w:t xml:space="preserve"> </w:t>
      </w:r>
      <w:r>
        <w:t xml:space="preserve">suggests that there is a slightly different pattern in response to the pandemic. There is a trajectory of increasing support for redistribution across skilled and unskilled workers since round 8 (2016). However, for lower-grade service class and small business owners, there seems to be a break in this trajectory captured in the latest wave.</w:t>
      </w:r>
    </w:p>
    <w:tbl>
      <w:tblPr>
        <w:tblStyle w:val="Table"/>
        <w:tblW w:type="pct" w:w="5000"/>
        <w:tblLayout w:type="fixed"/>
        <w:tblLook w:firstRow="0" w:lastRow="0" w:firstColumn="0" w:lastColumn="0" w:noHBand="0" w:noVBand="0" w:val="0000"/>
      </w:tblPr>
      <w:tblGrid>
        <w:gridCol w:w="7920"/>
      </w:tblGrid>
      <w:tr>
        <w:tc>
          <w:tcPr/>
          <w:bookmarkStart w:id="86" w:name="fig-class5-time"/>
          <w:p>
            <w:pPr>
              <w:jc w:val="center"/>
            </w:pPr>
            <w:pPr>
              <w:jc w:val="start"/>
              <w:spacing w:before="200"/>
              <w:pStyle w:val="ImageCaption"/>
            </w:pPr>
            <w:r>
              <w:t xml:space="preserve">Figure 8: Average support for redistribution by social class (2002-2022)</w:t>
            </w:r>
          </w:p>
          <w:p>
            <w:pPr>
              <w:pStyle w:val="Compact"/>
              <w:jc w:val="center"/>
            </w:pPr>
            <w:r>
              <w:drawing>
                <wp:inline>
                  <wp:extent cx="5334000" cy="2611896"/>
                  <wp:effectExtent b="0" l="0" r="0" t="0"/>
                  <wp:docPr descr="" title="" id="84" name="Picture"/>
                  <a:graphic>
                    <a:graphicData uri="http://schemas.openxmlformats.org/drawingml/2006/picture">
                      <pic:pic>
                        <pic:nvPicPr>
                          <pic:cNvPr descr="report_files/figure-docx/fig-class5-time-1.png" id="85" name="Picture"/>
                          <pic:cNvPicPr>
                            <a:picLocks noChangeArrowheads="1" noChangeAspect="1"/>
                          </pic:cNvPicPr>
                        </pic:nvPicPr>
                        <pic:blipFill>
                          <a:blip r:embed="rId83"/>
                          <a:stretch>
                            <a:fillRect/>
                          </a:stretch>
                        </pic:blipFill>
                        <pic:spPr bwMode="auto">
                          <a:xfrm>
                            <a:off x="0" y="0"/>
                            <a:ext cx="5334000" cy="2611896"/>
                          </a:xfrm>
                          <a:prstGeom prst="rect">
                            <a:avLst/>
                          </a:prstGeom>
                          <a:noFill/>
                          <a:ln w="9525">
                            <a:noFill/>
                            <a:headEnd/>
                            <a:tailEnd/>
                          </a:ln>
                        </pic:spPr>
                      </pic:pic>
                    </a:graphicData>
                  </a:graphic>
                </wp:inline>
              </w:drawing>
            </w:r>
          </w:p>
          <w:bookmarkEnd w:id="86"/>
        </w:tc>
      </w:tr>
    </w:tbl>
    <w:bookmarkEnd w:id="87"/>
    <w:bookmarkStart w:id="92" w:name="job-loss"/>
    <w:p>
      <w:pPr>
        <w:pStyle w:val="Heading2"/>
      </w:pPr>
      <w:r>
        <w:t xml:space="preserve">Job loss</w:t>
      </w:r>
    </w:p>
    <w:tbl>
      <w:tblPr>
        <w:tblStyle w:val="Table"/>
        <w:tblW w:type="pct" w:w="5000"/>
        <w:tblLayout w:type="fixed"/>
        <w:tblLook w:firstRow="0" w:lastRow="0" w:firstColumn="0" w:lastColumn="0" w:noHBand="0" w:noVBand="0" w:val="0000"/>
      </w:tblPr>
      <w:tblGrid>
        <w:gridCol w:w="7920"/>
      </w:tblGrid>
      <w:tr>
        <w:tc>
          <w:tcPr/>
          <w:bookmarkStart w:id="91" w:name="fig-jobloss"/>
          <w:p>
            <w:pPr>
              <w:jc w:val="center"/>
            </w:pPr>
            <w:pPr>
              <w:jc w:val="start"/>
              <w:spacing w:before="200"/>
              <w:pStyle w:val="ImageCaption"/>
            </w:pPr>
            <w:r>
              <w:t xml:space="preserve">Figure 9: Average support for redistribution by social class (2002-2022)</w:t>
            </w:r>
          </w:p>
          <w:p>
            <w:pPr>
              <w:pStyle w:val="Compact"/>
              <w:jc w:val="center"/>
            </w:pPr>
            <w:r>
              <w:drawing>
                <wp:inline>
                  <wp:extent cx="1848050" cy="3696101"/>
                  <wp:effectExtent b="0" l="0" r="0" t="0"/>
                  <wp:docPr descr="" title="" id="89" name="Picture"/>
                  <a:graphic>
                    <a:graphicData uri="http://schemas.openxmlformats.org/drawingml/2006/picture">
                      <pic:pic>
                        <pic:nvPicPr>
                          <pic:cNvPr descr="report_files/figure-docx/fig-jobloss-1.png" id="90" name="Picture"/>
                          <pic:cNvPicPr>
                            <a:picLocks noChangeArrowheads="1" noChangeAspect="1"/>
                          </pic:cNvPicPr>
                        </pic:nvPicPr>
                        <pic:blipFill>
                          <a:blip r:embed="rId88"/>
                          <a:stretch>
                            <a:fillRect/>
                          </a:stretch>
                        </pic:blipFill>
                        <pic:spPr bwMode="auto">
                          <a:xfrm>
                            <a:off x="0" y="0"/>
                            <a:ext cx="1848050" cy="3696101"/>
                          </a:xfrm>
                          <a:prstGeom prst="rect">
                            <a:avLst/>
                          </a:prstGeom>
                          <a:noFill/>
                          <a:ln w="9525">
                            <a:noFill/>
                            <a:headEnd/>
                            <a:tailEnd/>
                          </a:ln>
                        </pic:spPr>
                      </pic:pic>
                    </a:graphicData>
                  </a:graphic>
                </wp:inline>
              </w:drawing>
            </w:r>
          </w:p>
          <w:bookmarkEnd w:id="91"/>
        </w:tc>
      </w:tr>
    </w:tbl>
    <w:bookmarkEnd w:id="92"/>
    <w:bookmarkStart w:id="93" w:name="support-for-welfare-policies"/>
    <w:p>
      <w:pPr>
        <w:pStyle w:val="Heading2"/>
      </w:pPr>
      <w:r>
        <w:t xml:space="preserve">Support for welfare policies</w:t>
      </w:r>
    </w:p>
    <w:p>
      <w:pPr>
        <w:pStyle w:val="FirstParagraph"/>
      </w:pPr>
      <w:r>
        <w:t xml:space="preserve">The data analysed in this chapter refers to a special module from the European Social Survey on welfare attitudes that was fielded in 2008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w:t>
      </w:r>
    </w:p>
    <w:bookmarkEnd w:id="93"/>
    <w:bookmarkStart w:id="100" w:name="large-differences-acceptable"/>
    <w:p>
      <w:pPr>
        <w:pStyle w:val="Heading2"/>
      </w:pPr>
      <w:r>
        <w:t xml:space="preserve">Large differences acceptable</w:t>
      </w:r>
    </w:p>
    <w:p>
      <w:pPr>
        <w:pStyle w:val="FirstParagraph"/>
      </w:pPr>
      <w:r>
        <w:t xml:space="preserve">In this question, respondents were asked to what extent they agree with the following statement: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daniel.capistrano\AppData\Local\Programs\Quarto\share\formats\docx\note.png" id="9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after="16"/>
            </w:pPr>
            <w:r>
              <w:t xml:space="preserve">‘Large differences in people’s incomes are acceptable to properly reward differences in talents and efforts’</w:t>
            </w:r>
          </w:p>
        </w:tc>
      </w:tr>
    </w:tbl>
    <w:p>
      <w:pPr>
        <w:pStyle w:val="BodyText"/>
      </w:pPr>
      <w:r>
        <w:t xml:space="preserve">The distribution appears to be similar for 2008 and 2016, with a slight reduction in the proportion of those who</w:t>
      </w:r>
      <w:r>
        <w:t xml:space="preserve"> </w:t>
      </w:r>
      <w:r>
        <w:t xml:space="preserve">“agree”</w:t>
      </w:r>
      <w:r>
        <w:t xml:space="preserve"> </w:t>
      </w:r>
      <w:r>
        <w:t xml:space="preserve">or</w:t>
      </w:r>
      <w:r>
        <w:t xml:space="preserve"> </w:t>
      </w:r>
      <w:r>
        <w:t xml:space="preserve">“agree strongly”</w:t>
      </w:r>
      <w:r>
        <w:t xml:space="preserve">.</w:t>
      </w:r>
    </w:p>
    <w:p>
      <w:pPr>
        <w:pStyle w:val="SourceCode"/>
      </w:pPr>
      <w:r>
        <w:rPr>
          <w:rStyle w:val="VerbatimChar"/>
        </w:rPr>
        <w:t xml:space="preserve"># A tibble: 17 × 3</w:t>
      </w:r>
      <w:r>
        <w:br/>
      </w:r>
      <w:r>
        <w:rPr>
          <w:rStyle w:val="VerbatimChar"/>
        </w:rPr>
        <w:t xml:space="preserve">   class5                          class16                                     n</w:t>
      </w:r>
      <w:r>
        <w:br/>
      </w:r>
      <w:r>
        <w:rPr>
          <w:rStyle w:val="VerbatimChar"/>
        </w:rPr>
        <w:t xml:space="preserve">   &lt;dbl+lbl&gt;                       &lt;dbl+lbl&gt;                               &lt;int&gt;</w:t>
      </w:r>
      <w:r>
        <w:br/>
      </w:r>
      <w:r>
        <w:rPr>
          <w:rStyle w:val="VerbatimChar"/>
        </w:rPr>
        <w:t xml:space="preserve"> 1  1 [Higher-grade service class]  1 [Large employers]                      164</w:t>
      </w:r>
      <w:r>
        <w:br/>
      </w:r>
      <w:r>
        <w:rPr>
          <w:rStyle w:val="VerbatimChar"/>
        </w:rPr>
        <w:t xml:space="preserve"> 2  1 [Higher-grade service class]  2 [Self-employed professionals]          359</w:t>
      </w:r>
      <w:r>
        <w:br/>
      </w:r>
      <w:r>
        <w:rPr>
          <w:rStyle w:val="VerbatimChar"/>
        </w:rPr>
        <w:t xml:space="preserve"> 3  1 [Higher-grade service class]  5 [Technical experts]                    617</w:t>
      </w:r>
      <w:r>
        <w:br/>
      </w:r>
      <w:r>
        <w:rPr>
          <w:rStyle w:val="VerbatimChar"/>
        </w:rPr>
        <w:t xml:space="preserve"> 4  1 [Higher-grade service class]  9 [Higher-grade managers and administ…  1549</w:t>
      </w:r>
      <w:r>
        <w:br/>
      </w:r>
      <w:r>
        <w:rPr>
          <w:rStyle w:val="VerbatimChar"/>
        </w:rPr>
        <w:t xml:space="preserve"> 5  1 [Higher-grade service class] 13 [Socio-cultural professionals]         933</w:t>
      </w:r>
      <w:r>
        <w:br/>
      </w:r>
      <w:r>
        <w:rPr>
          <w:rStyle w:val="VerbatimChar"/>
        </w:rPr>
        <w:t xml:space="preserve"> 6  2 [Lower-grade service class]   6 [Technicians]                          489</w:t>
      </w:r>
      <w:r>
        <w:br/>
      </w:r>
      <w:r>
        <w:rPr>
          <w:rStyle w:val="VerbatimChar"/>
        </w:rPr>
        <w:t xml:space="preserve"> 7  2 [Lower-grade service class]  10 [Lower-grade managers and administr…  1392</w:t>
      </w:r>
      <w:r>
        <w:br/>
      </w:r>
      <w:r>
        <w:rPr>
          <w:rStyle w:val="VerbatimChar"/>
        </w:rPr>
        <w:t xml:space="preserve"> 8  2 [Lower-grade service class]  14 [Socio-cultural semi-professionals]   1487</w:t>
      </w:r>
      <w:r>
        <w:br/>
      </w:r>
      <w:r>
        <w:rPr>
          <w:rStyle w:val="VerbatimChar"/>
        </w:rPr>
        <w:t xml:space="preserve"> 9  3 [Small business owners]       3 [Small business owners with employe…  1008</w:t>
      </w:r>
      <w:r>
        <w:br/>
      </w:r>
      <w:r>
        <w:rPr>
          <w:rStyle w:val="VerbatimChar"/>
        </w:rPr>
        <w:t xml:space="preserve">10  3 [Small business owners]       4 [Small business owners without empl…  1860</w:t>
      </w:r>
      <w:r>
        <w:br/>
      </w:r>
      <w:r>
        <w:rPr>
          <w:rStyle w:val="VerbatimChar"/>
        </w:rPr>
        <w:t xml:space="preserve">11  4 [Skilled workers]             7 [Skilled manual]                      1974</w:t>
      </w:r>
      <w:r>
        <w:br/>
      </w:r>
      <w:r>
        <w:rPr>
          <w:rStyle w:val="VerbatimChar"/>
        </w:rPr>
        <w:t xml:space="preserve">12  4 [Skilled workers]            11 [Skilled clerks]                      2074</w:t>
      </w:r>
      <w:r>
        <w:br/>
      </w:r>
      <w:r>
        <w:rPr>
          <w:rStyle w:val="VerbatimChar"/>
        </w:rPr>
        <w:t xml:space="preserve">13  4 [Skilled workers]            15 [Skilled service]                     3102</w:t>
      </w:r>
      <w:r>
        <w:br/>
      </w:r>
      <w:r>
        <w:rPr>
          <w:rStyle w:val="VerbatimChar"/>
        </w:rPr>
        <w:t xml:space="preserve">14  5 [Unskilled workers]           8 [Low-skilled manual]                  1903</w:t>
      </w:r>
      <w:r>
        <w:br/>
      </w:r>
      <w:r>
        <w:rPr>
          <w:rStyle w:val="VerbatimChar"/>
        </w:rPr>
        <w:t xml:space="preserve">15  5 [Unskilled workers]          12 [Unskilled clerks]                     295</w:t>
      </w:r>
      <w:r>
        <w:br/>
      </w:r>
      <w:r>
        <w:rPr>
          <w:rStyle w:val="VerbatimChar"/>
        </w:rPr>
        <w:t xml:space="preserve">16  5 [Unskilled workers]          16 [Low-skilled service]                 2289</w:t>
      </w:r>
      <w:r>
        <w:br/>
      </w:r>
      <w:r>
        <w:rPr>
          <w:rStyle w:val="VerbatimChar"/>
        </w:rPr>
        <w:t xml:space="preserve">17 NA                              NA                                       2755</w:t>
      </w:r>
    </w:p>
    <w:tbl>
      <w:tblPr>
        <w:tblStyle w:val="Table"/>
        <w:tblW w:type="pct" w:w="5000"/>
        <w:tblLayout w:type="fixed"/>
        <w:tblLook w:firstRow="0" w:lastRow="0" w:firstColumn="0" w:lastColumn="0" w:noHBand="0" w:noVBand="0" w:val="0000"/>
      </w:tblPr>
      <w:tblGrid>
        <w:gridCol w:w="7920"/>
      </w:tblGrid>
      <w:tr>
        <w:tc>
          <w:tcPr/>
          <w:bookmarkStart w:id="99" w:name="fig-large-diff"/>
          <w:p>
            <w:pPr>
              <w:jc w:val="center"/>
            </w:pPr>
            <w:pPr>
              <w:jc w:val="start"/>
              <w:spacing w:before="200"/>
              <w:pStyle w:val="ImageCaption"/>
            </w:pPr>
            <w:r>
              <w:t xml:space="preserve">Figure 10: Distribution of</w:t>
            </w:r>
            <w:r>
              <w:t xml:space="preserve"> </w:t>
            </w:r>
            <w:r>
              <w:t xml:space="preserve">‘Large differences acceptable’</w:t>
            </w:r>
            <w:r>
              <w:t xml:space="preserve"> </w:t>
            </w:r>
            <w:r>
              <w:t xml:space="preserve">(2008 and 2016)</w:t>
            </w:r>
          </w:p>
          <w:p>
            <w:pPr>
              <w:pStyle w:val="Compact"/>
              <w:jc w:val="center"/>
            </w:pPr>
            <w:r>
              <w:drawing>
                <wp:inline>
                  <wp:extent cx="1848050" cy="3696101"/>
                  <wp:effectExtent b="0" l="0" r="0" t="0"/>
                  <wp:docPr descr="" title="" id="97" name="Picture"/>
                  <a:graphic>
                    <a:graphicData uri="http://schemas.openxmlformats.org/drawingml/2006/picture">
                      <pic:pic>
                        <pic:nvPicPr>
                          <pic:cNvPr descr="report_files/figure-docx/fig-large-diff-1.png" id="98" name="Picture"/>
                          <pic:cNvPicPr>
                            <a:picLocks noChangeArrowheads="1" noChangeAspect="1"/>
                          </pic:cNvPicPr>
                        </pic:nvPicPr>
                        <pic:blipFill>
                          <a:blip r:embed="rId96"/>
                          <a:stretch>
                            <a:fillRect/>
                          </a:stretch>
                        </pic:blipFill>
                        <pic:spPr bwMode="auto">
                          <a:xfrm>
                            <a:off x="0" y="0"/>
                            <a:ext cx="1848050" cy="3696101"/>
                          </a:xfrm>
                          <a:prstGeom prst="rect">
                            <a:avLst/>
                          </a:prstGeom>
                          <a:noFill/>
                          <a:ln w="9525">
                            <a:noFill/>
                            <a:headEnd/>
                            <a:tailEnd/>
                          </a:ln>
                        </pic:spPr>
                      </pic:pic>
                    </a:graphicData>
                  </a:graphic>
                </wp:inline>
              </w:drawing>
            </w:r>
          </w:p>
          <w:bookmarkEnd w:id="99"/>
        </w:tc>
      </w:tr>
    </w:tbl>
    <w:p>
      <w:pPr>
        <w:pStyle w:val="BodyText"/>
      </w:pPr>
      <w:r>
        <w:t xml:space="preserve">A multivariate analysis with the same explanatory variables from the model in</w:t>
      </w:r>
      <w:r>
        <w:t xml:space="preserve"> </w:t>
      </w:r>
      <w:hyperlink w:anchor="tbl-multiv-gincdif">
        <w:r>
          <w:rPr>
            <w:rStyle w:val="Hyperlink"/>
          </w:rPr>
          <w:t xml:space="preserve">Table 2</w:t>
        </w:r>
      </w:hyperlink>
      <w:r>
        <w:t xml:space="preserve"> </w:t>
      </w:r>
      <w:r>
        <w:t xml:space="preserve">suggests that gender and class are not statistically significant predictors. However, respondents with worse financial situation tend to disagree more with this statement.</w:t>
      </w:r>
    </w:p>
    <w:bookmarkEnd w:id="100"/>
    <w:bookmarkStart w:id="107" w:name="deservingness"/>
    <w:p>
      <w:pPr>
        <w:pStyle w:val="Heading2"/>
      </w:pPr>
      <w:r>
        <w:t xml:space="preserve">Deservingness</w:t>
      </w:r>
    </w:p>
    <w:p>
      <w:pPr>
        <w:pStyle w:val="FirstParagraph"/>
      </w:pPr>
      <w:r>
        <w:t xml:space="preserve">In this question, respondents were asked how much responsibility the government should have in relation to the following groups: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Users\daniel.capistrano\AppData\Local\Programs\Quarto\share\formats\docx\note.png" id="10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People have different views on what the responsibilities of governments should or should not be. For each of the tasks I read out please tell me on a score of 0-10 how much responsibility you think governments should have. 0 means it should not be governments’ responsibility at all and 10 means it should be entirely governments’ responsibility</w:t>
            </w:r>
          </w:p>
          <w:p>
            <w:pPr>
              <w:pStyle w:val="BodyText"/>
            </w:pPr>
            <w:r>
              <w:t xml:space="preserve">“… ensure sufficient child care services for working parents”</w:t>
            </w:r>
          </w:p>
          <w:p>
            <w:pPr>
              <w:pStyle w:val="BodyText"/>
            </w:pPr>
            <w:r>
              <w:t xml:space="preserve">“… ensure a reasonable standard of living for the old”</w:t>
            </w:r>
          </w:p>
          <w:p>
            <w:pPr>
              <w:pStyle w:val="BodyText"/>
            </w:pPr>
            <w:pPr>
              <w:spacing w:after="16"/>
            </w:pPr>
            <w:r>
              <w:t xml:space="preserve">“…ensure a reasonable standard of living for the unemployed”</w:t>
            </w:r>
          </w:p>
        </w:tc>
      </w:tr>
    </w:tbl>
    <w:p>
      <w:pPr>
        <w:pStyle w:val="BodyText"/>
      </w:pPr>
      <w:r>
        <w:t xml:space="preserve">In the</w:t>
      </w:r>
      <w:r>
        <w:t xml:space="preserve"> </w:t>
      </w:r>
      <w:hyperlink w:anchor="fig-deservingness">
        <w:r>
          <w:rPr>
            <w:rStyle w:val="Hyperlink"/>
          </w:rPr>
          <w:t xml:space="preserve">Figure 11</w:t>
        </w:r>
      </w:hyperlink>
      <w:r>
        <w:t xml:space="preserve">, higher values denote higher government responsibility. On average respondents believe that the government should be more responsible for the old compared to working parents and unemployed. However, there was a reduction in this prioritisation for governments’ responsibility in relation to older citizens and unemployed and increase in the average prioritisation for working parents.</w:t>
      </w:r>
    </w:p>
    <w:tbl>
      <w:tblPr>
        <w:tblStyle w:val="Table"/>
        <w:tblW w:type="pct" w:w="5000"/>
        <w:tblLayout w:type="fixed"/>
        <w:tblLook w:firstRow="0" w:lastRow="0" w:firstColumn="0" w:lastColumn="0" w:noHBand="0" w:noVBand="0" w:val="0000"/>
      </w:tblPr>
      <w:tblGrid>
        <w:gridCol w:w="7920"/>
      </w:tblGrid>
      <w:tr>
        <w:tc>
          <w:tcPr/>
          <w:bookmarkStart w:id="106" w:name="fig-deservingness"/>
          <w:p>
            <w:pPr>
              <w:jc w:val="center"/>
            </w:pPr>
            <w:pPr>
              <w:jc w:val="start"/>
              <w:spacing w:before="200"/>
              <w:pStyle w:val="ImageCaption"/>
            </w:pPr>
            <w:r>
              <w:t xml:space="preserve">Figure 11: Mean values for deservingness of government support by group and round</w:t>
            </w:r>
          </w:p>
          <w:p>
            <w:pPr>
              <w:pStyle w:val="Compact"/>
              <w:jc w:val="center"/>
            </w:pPr>
            <w:r>
              <w:drawing>
                <wp:inline>
                  <wp:extent cx="1848050" cy="3696101"/>
                  <wp:effectExtent b="0" l="0" r="0" t="0"/>
                  <wp:docPr descr="" title="" id="104" name="Picture"/>
                  <a:graphic>
                    <a:graphicData uri="http://schemas.openxmlformats.org/drawingml/2006/picture">
                      <pic:pic>
                        <pic:nvPicPr>
                          <pic:cNvPr descr="report_files/figure-docx/fig-deservingness-1.png" id="105" name="Picture"/>
                          <pic:cNvPicPr>
                            <a:picLocks noChangeArrowheads="1" noChangeAspect="1"/>
                          </pic:cNvPicPr>
                        </pic:nvPicPr>
                        <pic:blipFill>
                          <a:blip r:embed="rId103"/>
                          <a:stretch>
                            <a:fillRect/>
                          </a:stretch>
                        </pic:blipFill>
                        <pic:spPr bwMode="auto">
                          <a:xfrm>
                            <a:off x="0" y="0"/>
                            <a:ext cx="1848050" cy="3696101"/>
                          </a:xfrm>
                          <a:prstGeom prst="rect">
                            <a:avLst/>
                          </a:prstGeom>
                          <a:noFill/>
                          <a:ln w="9525">
                            <a:noFill/>
                            <a:headEnd/>
                            <a:tailEnd/>
                          </a:ln>
                        </pic:spPr>
                      </pic:pic>
                    </a:graphicData>
                  </a:graphic>
                </wp:inline>
              </w:drawing>
            </w:r>
          </w:p>
          <w:bookmarkEnd w:id="106"/>
        </w:tc>
      </w:tr>
    </w:tbl>
    <w:bookmarkEnd w:id="107"/>
    <w:bookmarkStart w:id="116" w:name="beliefs-about-social-benefits"/>
    <w:p>
      <w:pPr>
        <w:pStyle w:val="Heading2"/>
      </w:pPr>
      <w:r>
        <w:t xml:space="preserve">Beliefs about social benefits</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daniel.capistrano\AppData\Local\Programs\Quarto\share\formats\docx\note.png" id="10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tc>
      </w:tr>
    </w:tbl>
    <w:p>
      <w:pPr>
        <w:pStyle w:val="BodyText"/>
      </w:pPr>
      <w:r>
        <w:t xml:space="preserve">The average level of agreement remains similar comparing 2008 and 2016. The only exception is the average for</w:t>
      </w:r>
      <w:r>
        <w:t xml:space="preserve"> </w:t>
      </w:r>
      <w:r>
        <w:t xml:space="preserve">“social benefits place too great strain on economy”</w:t>
      </w:r>
      <w:r>
        <w:t xml:space="preserve">, which oberved a significant reduction in the level of agreement, as shown in</w:t>
      </w:r>
      <w:r>
        <w:t xml:space="preserve"> </w:t>
      </w:r>
      <w:hyperlink w:anchor="fig-benefits">
        <w:r>
          <w:rPr>
            <w:rStyle w:val="Hyperlink"/>
          </w:rPr>
          <w:t xml:space="preserve">Figure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3" w:name="fig-benefits"/>
          <w:p>
            <w:pPr>
              <w:jc w:val="center"/>
            </w:pPr>
            <w:pPr>
              <w:jc w:val="start"/>
              <w:spacing w:before="200"/>
              <w:pStyle w:val="ImageCaption"/>
            </w:pPr>
            <w:r>
              <w:t xml:space="preserve">Figure 12: Mean values for beliefs in relation to social benefits by round</w:t>
            </w:r>
          </w:p>
          <w:p>
            <w:pPr>
              <w:pStyle w:val="Compact"/>
              <w:jc w:val="center"/>
            </w:pPr>
            <w:r>
              <w:drawing>
                <wp:inline>
                  <wp:extent cx="5334000" cy="2611896"/>
                  <wp:effectExtent b="0" l="0" r="0" t="0"/>
                  <wp:docPr descr="" title="" id="111" name="Picture"/>
                  <a:graphic>
                    <a:graphicData uri="http://schemas.openxmlformats.org/drawingml/2006/picture">
                      <pic:pic>
                        <pic:nvPicPr>
                          <pic:cNvPr descr="report_files/figure-docx/fig-benefits-1.png" id="112" name="Picture"/>
                          <pic:cNvPicPr>
                            <a:picLocks noChangeArrowheads="1" noChangeAspect="1"/>
                          </pic:cNvPicPr>
                        </pic:nvPicPr>
                        <pic:blipFill>
                          <a:blip r:embed="rId110"/>
                          <a:stretch>
                            <a:fillRect/>
                          </a:stretch>
                        </pic:blipFill>
                        <pic:spPr bwMode="auto">
                          <a:xfrm>
                            <a:off x="0" y="0"/>
                            <a:ext cx="5334000" cy="2611896"/>
                          </a:xfrm>
                          <a:prstGeom prst="rect">
                            <a:avLst/>
                          </a:prstGeom>
                          <a:noFill/>
                          <a:ln w="9525">
                            <a:noFill/>
                            <a:headEnd/>
                            <a:tailEnd/>
                          </a:ln>
                        </pic:spPr>
                      </pic:pic>
                    </a:graphicData>
                  </a:graphic>
                </wp:inline>
              </w:drawing>
            </w:r>
          </w:p>
          <w:bookmarkEnd w:id="113"/>
        </w:tc>
      </w:tr>
    </w:tbl>
    <w:bookmarkStart w:id="115" w:name="pca"/>
    <w:p>
      <w:pPr>
        <w:pStyle w:val="Heading3"/>
      </w:pPr>
      <w:r>
        <w:t xml:space="preserve">PCA</w:t>
      </w:r>
    </w:p>
    <w:p>
      <w:pPr>
        <w:pStyle w:val="FirstParagraph"/>
      </w:pPr>
      <w:r>
        <w:t xml:space="preserve">A Principal Components Analysis indicate that these five variables can be reduced to the following two latent dimensions named arbitrarily:</w:t>
      </w:r>
    </w:p>
    <w:p>
      <w:pPr>
        <w:pStyle w:val="Compact"/>
        <w:numPr>
          <w:ilvl w:val="0"/>
          <w:numId w:val="1005"/>
        </w:numPr>
      </w:pPr>
      <w:r>
        <w:rPr>
          <w:b/>
          <w:bCs/>
        </w:rPr>
        <w:t xml:space="preserve">Protective</w:t>
      </w:r>
      <w:r>
        <w:t xml:space="preserve"> </w:t>
      </w:r>
      <w:r>
        <w:t xml:space="preserve">(PC1):</w:t>
      </w:r>
      <w:r>
        <w:t xml:space="preserve"> </w:t>
      </w:r>
      <w:r>
        <w:t xml:space="preserve">“Lead to equal society”</w:t>
      </w:r>
      <w:r>
        <w:t xml:space="preserve"> </w:t>
      </w:r>
      <w:r>
        <w:t xml:space="preserve">and</w:t>
      </w:r>
      <w:r>
        <w:t xml:space="preserve"> </w:t>
      </w:r>
      <w:r>
        <w:t xml:space="preserve">“Prevent poverty”</w:t>
      </w:r>
      <w:r>
        <w:t xml:space="preserve">;</w:t>
      </w:r>
      <w:r>
        <w:br/>
      </w:r>
    </w:p>
    <w:p>
      <w:pPr>
        <w:pStyle w:val="Compact"/>
        <w:numPr>
          <w:ilvl w:val="0"/>
          <w:numId w:val="1005"/>
        </w:numPr>
      </w:pPr>
      <w:r>
        <w:rPr>
          <w:b/>
          <w:bCs/>
        </w:rPr>
        <w:t xml:space="preserve">Disincentive</w:t>
      </w:r>
      <w:r>
        <w:t xml:space="preserve"> </w:t>
      </w:r>
      <w:r>
        <w:t xml:space="preserve">(PC2):</w:t>
      </w:r>
      <w:r>
        <w:t xml:space="preserve"> </w:t>
      </w:r>
      <w:r>
        <w:t xml:space="preserve">“Make people lazy”</w:t>
      </w:r>
      <w:r>
        <w:t xml:space="preserve"> </w:t>
      </w:r>
      <w:r>
        <w:t xml:space="preserve">and</w:t>
      </w:r>
      <w:r>
        <w:t xml:space="preserve"> </w:t>
      </w:r>
      <w:r>
        <w:t xml:space="preserve">“Make people less willing to care”</w:t>
      </w:r>
      <w:r>
        <w:t xml:space="preserve">, and</w:t>
      </w:r>
      <w:r>
        <w:t xml:space="preserve"> </w:t>
      </w:r>
      <w:r>
        <w:t xml:space="preserve">“Put strain on economy”</w:t>
      </w:r>
      <w:r>
        <w:t xml:space="preserve">.</w:t>
      </w:r>
    </w:p>
    <w:p>
      <w:pPr>
        <w:pStyle w:val="FirstParagraph"/>
      </w:pPr>
      <w:r>
        <w:t xml:space="preserve">The variables were aggregated within each dimension using the mean value of the non-missing answers. The</w:t>
      </w:r>
      <w:r>
        <w:t xml:space="preserve"> </w:t>
      </w:r>
      <w:hyperlink w:anchor="tbl-multiv-beliefs">
        <w:r>
          <w:rPr>
            <w:rStyle w:val="Hyperlink"/>
          </w:rPr>
          <w:t xml:space="preserve">Table 3</w:t>
        </w:r>
      </w:hyperlink>
      <w:r>
        <w:t xml:space="preserve"> </w:t>
      </w:r>
      <w:r>
        <w:t xml:space="preserve">below shows the coefficients of two OLS explanatory models for these two dimensions.</w:t>
      </w:r>
    </w:p>
    <w:p>
      <w:pPr>
        <w:pStyle w:val="BodyText"/>
      </w:pPr>
      <w:r>
        <w:t xml:space="preserve">The first model indicates that female respondents tend to provide a slightly lower score on the protective dimension of beliefs about social benefits. None of the other predictors included in the model are statistically significant.</w:t>
      </w:r>
    </w:p>
    <w:p>
      <w:pPr>
        <w:pStyle w:val="BodyText"/>
      </w:pPr>
      <w:r>
        <w:t xml:space="preserve">The second model suggests that the group of</w:t>
      </w:r>
      <w:r>
        <w:t xml:space="preserve"> </w:t>
      </w:r>
      <w:r>
        <w:t xml:space="preserve">“small business owners”</w:t>
      </w:r>
      <w:r>
        <w:t xml:space="preserve"> </w:t>
      </w:r>
      <w:r>
        <w:t xml:space="preserve">and</w:t>
      </w:r>
      <w:r>
        <w:t xml:space="preserve"> </w:t>
      </w:r>
      <w:r>
        <w:t xml:space="preserve">“skilled workers”</w:t>
      </w:r>
      <w:r>
        <w:t xml:space="preserve"> </w:t>
      </w:r>
      <w:r>
        <w:t xml:space="preserve">have higher scores compared to respondents of other social classes. In addition, respondents with worse self-reported financial situation tend to disagree more with beliefs related to disincentive dimension of social beliefs.</w:t>
      </w:r>
    </w:p>
    <w:tbl>
      <w:tblPr>
        <w:tblStyle w:val="Table"/>
        <w:tblW w:type="pct" w:w="5000"/>
        <w:tblLayout w:type="fixed"/>
        <w:tblLook w:firstRow="0" w:lastRow="0" w:firstColumn="0" w:lastColumn="0" w:noHBand="0" w:noVBand="0" w:val="0000"/>
      </w:tblPr>
      <w:tblGrid>
        <w:gridCol w:w="7920"/>
      </w:tblGrid>
      <w:tr>
        <w:tc>
          <w:tcPr/>
          <w:bookmarkStart w:id="114" w:name="tbl-multiv-beliefs"/>
          <w:p>
            <w:pPr>
              <w:jc w:val="center"/>
            </w:pPr>
            <w:pPr>
              <w:jc w:val="start"/>
              <w:spacing w:before="200"/>
              <w:pStyle w:val="ImageCaption"/>
            </w:pPr>
            <w:r>
              <w:t xml:space="preserve">Table 3: OLS regression coefficients for</w:t>
            </w:r>
            <w:r>
              <w:t xml:space="preserve"> </w:t>
            </w:r>
            <w:r>
              <w:t xml:space="preserve">‘beliefs about social benefits’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Protective</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Disincentive</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as_factor(gndr)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as_factor(hincfel)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0.029</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CI = Confidence Interval</w:t>
                  </w:r>
                </w:p>
              </w:tc>
            </w:tr>
            <w:tr>
              <w:trPr>
                <w:cantSplit/>
              </w:trPr>
              <w:tc>
                <w:tcPr>
                  <w:gridSpan w:val="7"/>
                </w:tcPr>
                <w:p>
                  <w:pPr>
                    <w:spacing w:before="0" w:after="60"/>
                    <w:keepNext/>
                  </w:pPr>
                  <w:r>
                    <w:rPr>
                      <w:rFonts w:ascii="Calibri" w:hAnsi="Calibri"/>
                      <w:sz w:val="20"/>
                    </w:rPr>
                    <w:t xml:space="default">Time fixed effects (ESS Round) omitted from the table but included in the model</w:t>
                  </w:r>
                </w:p>
              </w:tc>
            </w:tr>
          </w:tbl>
          <w:bookmarkEnd w:id="114"/>
        </w:tc>
      </w:tr>
    </w:tbl>
    <w:bookmarkEnd w:id="115"/>
    <w:bookmarkEnd w:id="116"/>
    <w:bookmarkEnd w:id="117"/>
    <w:bookmarkStart w:id="134" w:name="references"/>
    <w:p>
      <w:pPr>
        <w:pStyle w:val="Heading1"/>
      </w:pPr>
      <w:r>
        <w:t xml:space="preserve">References</w:t>
      </w:r>
    </w:p>
    <w:bookmarkStart w:id="133" w:name="refs"/>
    <w:bookmarkStart w:id="119"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18">
        <w:r>
          <w:rPr>
            <w:rStyle w:val="Hyperlink"/>
          </w:rPr>
          <w:t xml:space="preserve">https://doi.org/10.1177/09589287241290742</w:t>
        </w:r>
      </w:hyperlink>
      <w:r>
        <w:t xml:space="preserve">.</w:t>
      </w:r>
    </w:p>
    <w:bookmarkEnd w:id="119"/>
    <w:bookmarkStart w:id="121"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20">
        <w:r>
          <w:rPr>
            <w:rStyle w:val="Hyperlink"/>
          </w:rPr>
          <w:t xml:space="preserve">https://doi.org/10.1016/j.jebo.2021.03.017</w:t>
        </w:r>
      </w:hyperlink>
      <w:r>
        <w:t xml:space="preserve">.</w:t>
      </w:r>
    </w:p>
    <w:bookmarkEnd w:id="121"/>
    <w:bookmarkStart w:id="123"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22">
        <w:r>
          <w:rPr>
            <w:rStyle w:val="Hyperlink"/>
          </w:rPr>
          <w:t xml:space="preserve">https://doi.org/10.1177/09589287211066469</w:t>
        </w:r>
      </w:hyperlink>
      <w:r>
        <w:t xml:space="preserve">.</w:t>
      </w:r>
    </w:p>
    <w:bookmarkEnd w:id="123"/>
    <w:bookmarkStart w:id="125"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24">
        <w:r>
          <w:rPr>
            <w:rStyle w:val="Hyperlink"/>
          </w:rPr>
          <w:t xml:space="preserve">https://doi.org/10.1017/psrm.2023.57</w:t>
        </w:r>
      </w:hyperlink>
      <w:r>
        <w:t xml:space="preserve">.</w:t>
      </w:r>
    </w:p>
    <w:bookmarkEnd w:id="125"/>
    <w:bookmarkStart w:id="126"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26"/>
    <w:bookmarkStart w:id="128"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27">
        <w:r>
          <w:rPr>
            <w:rStyle w:val="Hyperlink"/>
          </w:rPr>
          <w:t xml:space="preserve">https://doi.org/10.1177/0268580906061379</w:t>
        </w:r>
      </w:hyperlink>
      <w:r>
        <w:t xml:space="preserve">.</w:t>
      </w:r>
    </w:p>
    <w:bookmarkEnd w:id="128"/>
    <w:bookmarkStart w:id="130"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29">
        <w:r>
          <w:rPr>
            <w:rStyle w:val="Hyperlink"/>
          </w:rPr>
          <w:t xml:space="preserve">https://scholar.google.com/scholar?cluster=14780777134980176311&amp;hl=en&amp;oi=scholarr</w:t>
        </w:r>
      </w:hyperlink>
      <w:r>
        <w:t xml:space="preserve">.</w:t>
      </w:r>
    </w:p>
    <w:bookmarkEnd w:id="130"/>
    <w:bookmarkStart w:id="132"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31">
        <w:r>
          <w:rPr>
            <w:rStyle w:val="Hyperlink"/>
          </w:rPr>
          <w:t xml:space="preserve">https://doi.org/10.1057/s41269-022-00260-9</w:t>
        </w:r>
      </w:hyperlink>
      <w:r>
        <w:t xml:space="preserve">.</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1" Target="media/rId21.jpg" /><Relationship Type="http://schemas.openxmlformats.org/officeDocument/2006/relationships/image" Id="rId34" Target="media/rId34.jpg" /><Relationship Type="http://schemas.openxmlformats.org/officeDocument/2006/relationships/image" Id="rId110" Target="media/rId110.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83" Target="media/rId83.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62" Target="media/rId62.png" /><Relationship Type="http://schemas.openxmlformats.org/officeDocument/2006/relationships/image" Id="rId51" Target="media/rId51.png" /><Relationship Type="http://schemas.openxmlformats.org/officeDocument/2006/relationships/hyperlink" Id="rId120" Target="https://doi.org/10.1016/j.jebo.2021.03.017" TargetMode="External" /><Relationship Type="http://schemas.openxmlformats.org/officeDocument/2006/relationships/hyperlink" Id="rId124" Target="https://doi.org/10.1017/psrm.2023.57" TargetMode="External" /><Relationship Type="http://schemas.openxmlformats.org/officeDocument/2006/relationships/hyperlink" Id="rId131" Target="https://doi.org/10.1057/s41269-022-00260-9" TargetMode="External" /><Relationship Type="http://schemas.openxmlformats.org/officeDocument/2006/relationships/hyperlink" Id="rId127" Target="https://doi.org/10.1177/0268580906061379" TargetMode="External" /><Relationship Type="http://schemas.openxmlformats.org/officeDocument/2006/relationships/hyperlink" Id="rId122" Target="https://doi.org/10.1177/09589287211066469" TargetMode="External" /><Relationship Type="http://schemas.openxmlformats.org/officeDocument/2006/relationships/hyperlink" Id="rId118" Target="https://doi.org/10.1177/09589287241290742" TargetMode="External" /><Relationship Type="http://schemas.openxmlformats.org/officeDocument/2006/relationships/hyperlink" Id="rId37" Target="https://europeansocialsurvey.org/" TargetMode="External" /><Relationship Type="http://schemas.openxmlformats.org/officeDocument/2006/relationships/hyperlink" Id="rId129" Target="https://scholar.google.com/scholar?cluster=14780777134980176311&amp;hl=en&amp;oi=scholarr" TargetMode="External" /><Relationship Type="http://schemas.openxmlformats.org/officeDocument/2006/relationships/hyperlink" Id="rId24" Target="https://www.gesis.org/en/services/finding-and-accessing-data/international-survey-programs/european-election-studies"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1016/j.jebo.2021.03.017" TargetMode="External" /><Relationship Type="http://schemas.openxmlformats.org/officeDocument/2006/relationships/hyperlink" Id="rId124" Target="https://doi.org/10.1017/psrm.2023.57" TargetMode="External" /><Relationship Type="http://schemas.openxmlformats.org/officeDocument/2006/relationships/hyperlink" Id="rId131" Target="https://doi.org/10.1057/s41269-022-00260-9" TargetMode="External" /><Relationship Type="http://schemas.openxmlformats.org/officeDocument/2006/relationships/hyperlink" Id="rId127" Target="https://doi.org/10.1177/0268580906061379" TargetMode="External" /><Relationship Type="http://schemas.openxmlformats.org/officeDocument/2006/relationships/hyperlink" Id="rId122" Target="https://doi.org/10.1177/09589287211066469" TargetMode="External" /><Relationship Type="http://schemas.openxmlformats.org/officeDocument/2006/relationships/hyperlink" Id="rId118" Target="https://doi.org/10.1177/09589287241290742" TargetMode="External" /><Relationship Type="http://schemas.openxmlformats.org/officeDocument/2006/relationships/hyperlink" Id="rId37" Target="https://europeansocialsurvey.org/" TargetMode="External" /><Relationship Type="http://schemas.openxmlformats.org/officeDocument/2006/relationships/hyperlink" Id="rId129" Target="https://scholar.google.com/scholar?cluster=14780777134980176311&amp;hl=en&amp;oi=scholarr" TargetMode="External" /><Relationship Type="http://schemas.openxmlformats.org/officeDocument/2006/relationships/hyperlink" Id="rId24" Target="https://www.gesis.org/en/services/finding-and-accessing-data/international-survey-programs/european-election-stud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income redistribution and welfare policies in Ireland</dc:title>
  <dc:creator/>
  <cp:keywords/>
  <dcterms:created xsi:type="dcterms:W3CDTF">2025-05-22T10:44:05Z</dcterms:created>
  <dcterms:modified xsi:type="dcterms:W3CDTF">2025-05-22T10:44:05Z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assets/CFI_Redistribution.bib</vt:lpwstr>
  </property>
  <property fmtid="{D5CDD505-2E9C-101B-9397-08002B2CF9AE}" pid="4" name="execute">
    <vt:lpwstr/>
  </property>
  <property fmtid="{D5CDD505-2E9C-101B-9397-08002B2CF9AE}" pid="5" name="fig-cap-location">
    <vt:lpwstr>top</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reference-docx">
    <vt:lpwstr>assets/template_esri.docx</vt:lpwstr>
  </property>
  <property fmtid="{D5CDD505-2E9C-101B-9397-08002B2CF9AE}" pid="12" name="toc-title">
    <vt:lpwstr>Table of contents</vt:lpwstr>
  </property>
</Properties>
</file>