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7.png" ContentType="image/png"/>
  <Override PartName="/word/media/rId35.png" ContentType="image/png"/>
  <Override PartName="/word/media/rId39.png" ContentType="image/png"/>
  <Override PartName="/word/media/rId51.png" ContentType="image/png"/>
  <Override PartName="/word/media/rId74.png" ContentType="image/png"/>
  <Override PartName="/word/media/rId30.png" ContentType="image/png"/>
  <Override PartName="/word/media/rId44.png" ContentType="image/png"/>
  <Override PartName="/word/media/rId58.png" ContentType="image/png"/>
  <Override PartName="/word/media/rId79.png" ContentType="image/png"/>
  <Override PartName="/word/media/rId66.png" ContentType="image/png"/>
  <Override PartName="/word/media/rId90.png" ContentType="image/png"/>
  <Override PartName="/word/media/rId86.png" ContentType="image/png"/>
  <Override PartName="/word/media/rId9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6"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w:t>
      </w:r>
    </w:p>
    <w:p>
      <w:pPr>
        <w:pStyle w:val="BodyText"/>
      </w:pPr>
      <w:r>
        <w:t xml:space="preserve">In a context of increasing challanges to social welfare in Ireland, it is crucial to have a better understanding of the public support to State actions designed to address these challenges.</w:t>
      </w:r>
    </w:p>
    <w:p>
      <w:pPr>
        <w:pStyle w:val="BodyText"/>
      </w:pPr>
      <w:r>
        <w:t xml:space="preserve">With this objective, the current report presents the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r>
        <w:br/>
      </w:r>
      <w:r>
        <w:t xml:space="preserve">1)</w:t>
      </w:r>
      <w:r>
        <w:t xml:space="preserve"> </w:t>
      </w: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are the main attitudes in relation to welfare policies in Ireland?</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r>
        <w:t xml:space="preserve">The</w:t>
      </w:r>
      <w:r>
        <w:t xml:space="preserve"> </w:t>
      </w:r>
      <w:hyperlink r:id="rId20">
        <w:r>
          <w:rPr>
            <w:rStyle w:val="Hyperlink"/>
          </w:rPr>
          <w:t xml:space="preserve">first chapter</w:t>
        </w:r>
      </w:hyperlink>
      <w:r>
        <w:t xml:space="preserve"> </w:t>
      </w:r>
      <w:r>
        <w:t xml:space="preserve">in this report addresses the first question of a diffuse and generalised support for income and wealth redistribution in the Irish society. The</w:t>
      </w:r>
      <w:r>
        <w:t xml:space="preserve"> </w:t>
      </w:r>
      <w:hyperlink r:id="rId21">
        <w:r>
          <w:rPr>
            <w:rStyle w:val="Hyperlink"/>
          </w:rPr>
          <w:t xml:space="preserve">second chapter</w:t>
        </w:r>
      </w:hyperlink>
      <w:r>
        <w:t xml:space="preserve">, addressing the second question, examines more specific support to welfare policies, beliefs about social benefits and their benifitiaries. The</w:t>
      </w:r>
      <w:r>
        <w:t xml:space="preserve"> </w:t>
      </w:r>
      <w:hyperlink r:id="rId22">
        <w:r>
          <w:rPr>
            <w:rStyle w:val="Hyperlink"/>
          </w:rPr>
          <w:t xml:space="preserve">final chapter</w:t>
        </w:r>
      </w:hyperlink>
      <w:r>
        <w:t xml:space="preserve"> </w:t>
      </w:r>
      <w:r>
        <w:t xml:space="preserve">looks at change over time in relation to these topics and explores the possible impact of the economic recession and the pandemic.</w:t>
      </w:r>
    </w:p>
    <w:bookmarkStart w:id="23" w:name="key-points"/>
    <w:p>
      <w:pPr>
        <w:pStyle w:val="Heading2"/>
      </w:pPr>
      <w:r>
        <w:t xml:space="preserve">1.1 Key points</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6</w:t>
        </w:r>
      </w:hyperlink>
      <w:r>
        <w:t xml:space="preserve">) and for wealth redistribution (</w:t>
      </w:r>
      <w:hyperlink w:anchor="fig-vs-time">
        <w:r>
          <w:rPr>
            <w:rStyle w:val="Hyperlink"/>
          </w:rPr>
          <w:t xml:space="preserve">Figure 7</w:t>
        </w:r>
      </w:hyperlink>
      <w:r>
        <w:t xml:space="preserve">).</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1</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5</w:t>
        </w:r>
      </w:hyperlink>
      <w:r>
        <w:t xml:space="preserve">)</w:t>
      </w:r>
    </w:p>
    <w:p>
      <w:pPr>
        <w:numPr>
          <w:ilvl w:val="0"/>
          <w:numId w:val="1002"/>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2</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r>
        <w:rPr>
          <w:b/>
          <w:bCs/>
        </w:rPr>
        <w:t xml:space="preserve">?@fig-class5-time</w:t>
      </w:r>
      <w:r>
        <w:t xml:space="preserve">)</w:t>
      </w:r>
    </w:p>
    <w:bookmarkEnd w:id="23"/>
    <w:bookmarkStart w:id="25"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4"/>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behavious and political attitudes.</w:t>
      </w:r>
    </w:p>
    <w:bookmarkEnd w:id="25"/>
    <w:bookmarkEnd w:id="26"/>
    <w:bookmarkStart w:id="49"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daniel.capistran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4" w:name="europe"/>
    <w:p>
      <w:pPr>
        <w:pStyle w:val="Heading2"/>
      </w:pPr>
      <w:r>
        <w:t xml:space="preserve">2.1 Europe</w:t>
      </w:r>
    </w:p>
    <w:p>
      <w:pPr>
        <w:pStyle w:val="FirstParagraph"/>
      </w:pPr>
      <w:r>
        <w:t xml:space="preserve">The mean levels of support for income redistribution shown in</w:t>
      </w:r>
      <w:r>
        <w:t xml:space="preserve"> </w:t>
      </w:r>
      <w:hyperlink w:anchor="fig-eumap">
        <w:r>
          <w:rPr>
            <w:rStyle w:val="Hyperlink"/>
          </w:rPr>
          <w:t xml:space="preserve">Figure 1</w:t>
        </w:r>
      </w:hyperlink>
      <w:r>
        <w:t xml:space="preserve"> </w:t>
      </w:r>
      <w:r>
        <w:t xml:space="preserve">is in line with the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The mean value for Ireland (3.95) is slightly higher compared to other countries in the north of Europe such as the United Kingdom (3.82) and the Netherlands (3.63).</w:t>
      </w:r>
    </w:p>
    <w:tbl>
      <w:tblPr>
        <w:tblStyle w:val="Table"/>
        <w:tblW w:type="pct" w:w="5000"/>
        <w:tblLayout w:type="fixed"/>
        <w:tblLook w:firstRow="0" w:lastRow="0" w:firstColumn="0" w:lastColumn="0" w:noHBand="0" w:noVBand="0" w:val="0000"/>
      </w:tblPr>
      <w:tblGrid>
        <w:gridCol w:w="7920"/>
      </w:tblGrid>
      <w:tr>
        <w:tc>
          <w:tcPr/>
          <w:bookmarkStart w:id="33" w:name="fig-eumap"/>
          <w:p>
            <w:pPr>
              <w:jc w:val="center"/>
            </w:pPr>
            <w:pPr>
              <w:jc w:val="start"/>
              <w:spacing w:before="200"/>
              <w:pStyle w:val="ImageCaption"/>
            </w:pPr>
            <w:r>
              <w:t xml:space="preserve">Figure 1: Mean value for</w:t>
            </w:r>
            <w:r>
              <w:t xml:space="preserve"> </w:t>
            </w:r>
            <w:r>
              <w:t xml:space="preserve">‘Governement should reduce income differences’</w:t>
            </w:r>
            <w:r>
              <w:t xml:space="preserve">, Europe, 2023</w:t>
            </w:r>
          </w:p>
          <w:p>
            <w:pPr>
              <w:pStyle w:val="Compact"/>
              <w:jc w:val="center"/>
            </w:pPr>
            <w:r>
              <w:drawing>
                <wp:inline>
                  <wp:extent cx="4160520" cy="3328415"/>
                  <wp:effectExtent b="0" l="0" r="0" t="0"/>
                  <wp:docPr descr="" title="" id="31" name="Picture"/>
                  <a:graphic>
                    <a:graphicData uri="http://schemas.openxmlformats.org/drawingml/2006/picture">
                      <pic:pic>
                        <pic:nvPicPr>
                          <pic:cNvPr descr="_assets/img/fig_eumap.png" id="32" name="Picture"/>
                          <pic:cNvPicPr>
                            <a:picLocks noChangeArrowheads="1" noChangeAspect="1"/>
                          </pic:cNvPicPr>
                        </pic:nvPicPr>
                        <pic:blipFill>
                          <a:blip r:embed="rId30"/>
                          <a:stretch>
                            <a:fillRect/>
                          </a:stretch>
                        </pic:blipFill>
                        <pic:spPr bwMode="auto">
                          <a:xfrm>
                            <a:off x="0" y="0"/>
                            <a:ext cx="4160520" cy="3328415"/>
                          </a:xfrm>
                          <a:prstGeom prst="rect">
                            <a:avLst/>
                          </a:prstGeom>
                          <a:noFill/>
                          <a:ln w="9525">
                            <a:noFill/>
                            <a:headEnd/>
                            <a:tailEnd/>
                          </a:ln>
                        </pic:spPr>
                      </pic:pic>
                    </a:graphicData>
                  </a:graphic>
                </wp:inline>
              </w:drawing>
            </w:r>
          </w:p>
          <w:bookmarkEnd w:id="33"/>
        </w:tc>
      </w:tr>
    </w:tbl>
    <w:p>
      <w:pPr>
        <w:pStyle w:val="BodyText"/>
      </w:pPr>
      <w:r>
        <w:t xml:space="preserve">Source: European Social Survey</w:t>
      </w:r>
    </w:p>
    <w:bookmarkEnd w:id="34"/>
    <w:bookmarkStart w:id="43" w:name="gender-age-and-social-class"/>
    <w:p>
      <w:pPr>
        <w:pStyle w:val="Heading2"/>
      </w:pPr>
      <w:r>
        <w:t xml:space="preserve">2.2 Gender, age and social class</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However, on average, it is not possible to identify statistically significant differences for male and female individuals in Ireland. The ESS question on the government role has a similar mean values for male (3.96) and female (3.94) respondents. Similarly, the voter study identified similar mean values for wealth redistribution across male (6.3) and female (6.15) participants.</w:t>
      </w:r>
    </w:p>
    <w:p>
      <w:pPr>
        <w:pStyle w:val="BodyText"/>
      </w:pPr>
      <w:r>
        <w:t xml:space="preserve">On the other hand, there seems to be an age pattern where younger respondents tend to be more supportive of income redistribution in Ireland. As shown in</w:t>
      </w:r>
      <w:r>
        <w:t xml:space="preserve"> </w:t>
      </w:r>
      <w:hyperlink w:anchor="fig-age-eu">
        <w:r>
          <w:rPr>
            <w:rStyle w:val="Hyperlink"/>
          </w:rPr>
          <w:t xml:space="preserve">Figure 2</w:t>
        </w:r>
      </w:hyperlink>
      <w:r>
        <w:t xml:space="preserve">, the opposite patter is observed in Germany, Finland, France, and Portugal. Although the UK also has a similar negative relationshop between age and support, it seems to be less pronounced compared to Ireland. This association is further explored in</w:t>
      </w:r>
      <w:r>
        <w:t xml:space="preserve"> </w:t>
      </w:r>
      <w:hyperlink r:id="rId22">
        <w:r>
          <w:rPr>
            <w:rStyle w:val="Hyperlink"/>
          </w:rPr>
          <w:t xml:space="preserve">Chapter 3</w:t>
        </w:r>
      </w:hyperlink>
      <w:r>
        <w:t xml:space="preserve"> </w:t>
      </w:r>
      <w:r>
        <w:t xml:space="preserve">investigating potential generational changes.</w:t>
      </w:r>
    </w:p>
    <w:tbl>
      <w:tblPr>
        <w:tblStyle w:val="Table"/>
        <w:tblW w:type="pct" w:w="5000"/>
        <w:tblLayout w:type="fixed"/>
        <w:tblLook w:firstRow="0" w:lastRow="0" w:firstColumn="0" w:lastColumn="0" w:noHBand="0" w:noVBand="0" w:val="0000"/>
      </w:tblPr>
      <w:tblGrid>
        <w:gridCol w:w="7920"/>
      </w:tblGrid>
      <w:tr>
        <w:tc>
          <w:tcPr/>
          <w:bookmarkStart w:id="38" w:name="fig-age-eu"/>
          <w:p>
            <w:pPr>
              <w:jc w:val="center"/>
            </w:pPr>
            <w:pPr>
              <w:jc w:val="start"/>
              <w:spacing w:before="200"/>
              <w:pStyle w:val="ImageCaption"/>
            </w:pPr>
            <w:r>
              <w:t xml:space="preserve">Figure 2: Scatter plot for</w:t>
            </w:r>
            <w:r>
              <w:t xml:space="preserve"> </w:t>
            </w:r>
            <w:r>
              <w:t xml:space="preserve">‘reduce income differences’</w:t>
            </w:r>
            <w:r>
              <w:t xml:space="preserve"> </w:t>
            </w:r>
            <w:r>
              <w:t xml:space="preserve">by age and country, 2023</w:t>
            </w:r>
          </w:p>
          <w:p>
            <w:pPr>
              <w:pStyle w:val="Compact"/>
              <w:jc w:val="center"/>
            </w:pPr>
            <w:r>
              <w:drawing>
                <wp:inline>
                  <wp:extent cx="4160520" cy="3328415"/>
                  <wp:effectExtent b="0" l="0" r="0" t="0"/>
                  <wp:docPr descr="" title="" id="36" name="Picture"/>
                  <a:graphic>
                    <a:graphicData uri="http://schemas.openxmlformats.org/drawingml/2006/picture">
                      <pic:pic>
                        <pic:nvPicPr>
                          <pic:cNvPr descr="_assets/img/fig_age_eu.png" id="37" name="Picture"/>
                          <pic:cNvPicPr>
                            <a:picLocks noChangeArrowheads="1" noChangeAspect="1"/>
                          </pic:cNvPicPr>
                        </pic:nvPicPr>
                        <pic:blipFill>
                          <a:blip r:embed="rId35"/>
                          <a:stretch>
                            <a:fillRect/>
                          </a:stretch>
                        </pic:blipFill>
                        <pic:spPr bwMode="auto">
                          <a:xfrm>
                            <a:off x="0" y="0"/>
                            <a:ext cx="4160520" cy="3328415"/>
                          </a:xfrm>
                          <a:prstGeom prst="rect">
                            <a:avLst/>
                          </a:prstGeom>
                          <a:noFill/>
                          <a:ln w="9525">
                            <a:noFill/>
                            <a:headEnd/>
                            <a:tailEnd/>
                          </a:ln>
                        </pic:spPr>
                      </pic:pic>
                    </a:graphicData>
                  </a:graphic>
                </wp:inline>
              </w:drawing>
            </w:r>
          </w:p>
          <w:bookmarkEnd w:id="38"/>
        </w:tc>
      </w:tr>
    </w:tbl>
    <w:p>
      <w:pPr>
        <w:pStyle w:val="BodyText"/>
      </w:pPr>
      <w:r>
        <w:t xml:space="preserve">Source: European Social Survey</w:t>
      </w:r>
    </w:p>
    <w:p>
      <w:pPr>
        <w:pStyle w:val="BodyText"/>
      </w:pPr>
      <w:r>
        <w:t xml:space="preserve">The analysis by social class suggests a negative relationship between class and the main ESS response variable. The mean values shown in</w:t>
      </w:r>
      <w:r>
        <w:t xml:space="preserve"> </w:t>
      </w:r>
      <w:hyperlink w:anchor="fig-class5">
        <w:r>
          <w:rPr>
            <w:rStyle w:val="Hyperlink"/>
          </w:rPr>
          <w:t xml:space="preserve">Figure 3</w:t>
        </w:r>
      </w:hyperlink>
      <w:r>
        <w:t xml:space="preserve"> </w:t>
      </w:r>
      <w:r>
        <w:t xml:space="preserve">indicate that</w:t>
      </w:r>
      <w:r>
        <w:t xml:space="preserve"> </w:t>
      </w:r>
      <w:r>
        <w:t xml:space="preserve">‘unskilled workers’</w:t>
      </w:r>
      <w:r>
        <w:t xml:space="preserve"> </w:t>
      </w:r>
      <w:r>
        <w:t xml:space="preserve">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t>
      </w:r>
      <w:r>
        <w:t xml:space="preserve">show lower levels of agreement.</w:t>
      </w:r>
    </w:p>
    <w:tbl>
      <w:tblPr>
        <w:tblStyle w:val="Table"/>
        <w:tblW w:type="pct" w:w="5000"/>
        <w:tblLayout w:type="fixed"/>
        <w:tblLook w:firstRow="0" w:lastRow="0" w:firstColumn="0" w:lastColumn="0" w:noHBand="0" w:noVBand="0" w:val="0000"/>
      </w:tblPr>
      <w:tblGrid>
        <w:gridCol w:w="7920"/>
      </w:tblGrid>
      <w:tr>
        <w:tc>
          <w:tcPr/>
          <w:bookmarkStart w:id="42" w:name="fig-class5"/>
          <w:p>
            <w:pPr>
              <w:jc w:val="center"/>
            </w:pPr>
            <w:pPr>
              <w:jc w:val="start"/>
              <w:spacing w:before="200"/>
              <w:pStyle w:val="ImageCaption"/>
            </w:pPr>
            <w:r>
              <w:t xml:space="preserve">Figure 3: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40" name="Picture"/>
                  <a:graphic>
                    <a:graphicData uri="http://schemas.openxmlformats.org/drawingml/2006/picture">
                      <pic:pic>
                        <pic:nvPicPr>
                          <pic:cNvPr descr="_assets/img/fig_class5.png" id="41" name="Picture"/>
                          <pic:cNvPicPr>
                            <a:picLocks noChangeArrowheads="1" noChangeAspect="1"/>
                          </pic:cNvPicPr>
                        </pic:nvPicPr>
                        <pic:blipFill>
                          <a:blip r:embed="rId39"/>
                          <a:stretch>
                            <a:fillRect/>
                          </a:stretch>
                        </pic:blipFill>
                        <pic:spPr bwMode="auto">
                          <a:xfrm>
                            <a:off x="0" y="0"/>
                            <a:ext cx="4160520" cy="2080260"/>
                          </a:xfrm>
                          <a:prstGeom prst="rect">
                            <a:avLst/>
                          </a:prstGeom>
                          <a:noFill/>
                          <a:ln w="9525">
                            <a:noFill/>
                            <a:headEnd/>
                            <a:tailEnd/>
                          </a:ln>
                        </pic:spPr>
                      </pic:pic>
                    </a:graphicData>
                  </a:graphic>
                </wp:inline>
              </w:drawing>
            </w:r>
          </w:p>
          <w:bookmarkEnd w:id="42"/>
        </w:tc>
      </w:tr>
    </w:tbl>
    <w:p>
      <w:pPr>
        <w:pStyle w:val="BodyText"/>
      </w:pPr>
      <w:r>
        <w:t xml:space="preserve">Source: European Social Survey</w:t>
      </w:r>
    </w:p>
    <w:bookmarkEnd w:id="43"/>
    <w:bookmarkStart w:id="48" w:name="multivariate-analysis"/>
    <w:p>
      <w:pPr>
        <w:pStyle w:val="Heading2"/>
      </w:pPr>
      <w:r>
        <w:t xml:space="preserve">2.3 Multivariate analysis</w:t>
      </w:r>
    </w:p>
    <w:p>
      <w:pPr>
        <w:pStyle w:val="FirstParagraph"/>
      </w:pPr>
      <w:r>
        <w:t xml:space="preserve">We created a multivariate regression model to assess the extent to which these individual factors are associated to support for income redistribution. We also included other variables in the model to control for subjective income (</w:t>
      </w:r>
      <w:r>
        <w:t xml:space="preserve">‘Sastisfaction with the household income’</w:t>
      </w:r>
      <w:r>
        <w:t xml:space="preserve">), economic activity (</w:t>
      </w:r>
      <w:r>
        <w:t xml:space="preserve">‘Main activity in the last seven days’</w:t>
      </w:r>
      <w:r>
        <w:t xml:space="preserve">), and political ideology (’Placement in the left-right scale).</w:t>
      </w:r>
    </w:p>
    <w:p>
      <w:pPr>
        <w:pStyle w:val="BodyText"/>
      </w:pPr>
      <w:hyperlink w:anchor="tbl-multiv-gincdif">
        <w:r>
          <w:rPr>
            <w:rStyle w:val="Hyperlink"/>
          </w:rPr>
          <w:t xml:space="preserve">Table 1</w:t>
        </w:r>
      </w:hyperlink>
      <w:r>
        <w:t xml:space="preserve"> </w:t>
      </w:r>
      <w:r>
        <w:t xml:space="preserve">below shows the coefficients of the OLS regression model. The overall explanatory power of the model is low (R² = 0.087), indicating that the small set of variables selected do not provide enough information to predict support accurately. However, the model identifies significant differences across groups.</w:t>
      </w:r>
    </w:p>
    <w:p>
      <w:pPr>
        <w:pStyle w:val="BodyText"/>
      </w:pPr>
      <w:r>
        <w:t xml:space="preserve">In terms of age, if we take the group of 25 to 34 as reference, all other age groups are expected to have lower support for redistribution. In addition, both the social class and subjective income suggest that respondents in more precarious economic situation tend to be more favourable of the government reducing income differences.</w:t>
      </w:r>
    </w:p>
    <w:tbl>
      <w:tblPr>
        <w:tblStyle w:val="Table"/>
        <w:tblW w:type="pct" w:w="5000"/>
        <w:tblLayout w:type="fixed"/>
        <w:tblLook w:firstRow="0" w:lastRow="0" w:firstColumn="0" w:lastColumn="0" w:noHBand="0" w:noVBand="0" w:val="0000"/>
      </w:tblPr>
      <w:tblGrid>
        <w:gridCol w:w="7920"/>
      </w:tblGrid>
      <w:tr>
        <w:tc>
          <w:tcPr/>
          <w:bookmarkStart w:id="47" w:name="tbl-multiv-gincdif"/>
          <w:p>
            <w:pPr>
              <w:jc w:val="center"/>
            </w:pPr>
            <w:pPr>
              <w:jc w:val="start"/>
              <w:spacing w:before="200"/>
              <w:pStyle w:val="ImageCaption"/>
            </w:pPr>
            <w:r>
              <w:t xml:space="preserve">Table 1: OLS regression coefficients for</w:t>
            </w:r>
            <w:r>
              <w:t xml:space="preserve"> </w:t>
            </w:r>
            <w:r>
              <w:t xml:space="preserve">‘income differences’</w:t>
            </w:r>
          </w:p>
          <w:p>
            <w:pPr>
              <w:jc w:val="center"/>
            </w:pPr>
            <w:r>
              <w:drawing>
                <wp:inline>
                  <wp:extent cx="4160520" cy="4370647"/>
                  <wp:effectExtent b="0" l="0" r="0" t="0"/>
                  <wp:docPr descr="" title="" id="45" name="Picture"/>
                  <a:graphic>
                    <a:graphicData uri="http://schemas.openxmlformats.org/drawingml/2006/picture">
                      <pic:pic>
                        <pic:nvPicPr>
                          <pic:cNvPr descr="_assets/img/tbl_multiv_gincdif.png" id="46" name="Picture"/>
                          <pic:cNvPicPr>
                            <a:picLocks noChangeArrowheads="1" noChangeAspect="1"/>
                          </pic:cNvPicPr>
                        </pic:nvPicPr>
                        <pic:blipFill>
                          <a:blip r:embed="rId44"/>
                          <a:stretch>
                            <a:fillRect/>
                          </a:stretch>
                        </pic:blipFill>
                        <pic:spPr bwMode="auto">
                          <a:xfrm>
                            <a:off x="0" y="0"/>
                            <a:ext cx="4160520" cy="4370647"/>
                          </a:xfrm>
                          <a:prstGeom prst="rect">
                            <a:avLst/>
                          </a:prstGeom>
                          <a:noFill/>
                          <a:ln w="9525">
                            <a:noFill/>
                            <a:headEnd/>
                            <a:tailEnd/>
                          </a:ln>
                        </pic:spPr>
                      </pic:pic>
                    </a:graphicData>
                  </a:graphic>
                </wp:inline>
              </w:drawing>
            </w:r>
          </w:p>
          <w:bookmarkEnd w:id="47"/>
        </w:tc>
      </w:tr>
    </w:tbl>
    <w:bookmarkEnd w:id="48"/>
    <w:bookmarkEnd w:id="49"/>
    <w:bookmarkStart w:id="65" w:name="sec-what"/>
    <w:p>
      <w:pPr>
        <w:pStyle w:val="Heading1"/>
      </w:pPr>
      <w:r>
        <w:t xml:space="preserve">3. What are the main attituddes towards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This module contains additional questions on beliefs about welfare, social benefits and their beneficiaries.</w:t>
      </w:r>
    </w:p>
    <w:bookmarkStart w:id="50" w:name="are-large-differences-acceptable"/>
    <w:p>
      <w:pPr>
        <w:pStyle w:val="Heading2"/>
      </w:pPr>
      <w:r>
        <w:t xml:space="preserve">3.1 Are large differences acceptable?</w:t>
      </w:r>
    </w:p>
    <w:p>
      <w:pPr>
        <w:pStyle w:val="FirstParagraph"/>
      </w:pPr>
      <w:r>
        <w:t xml:space="preserve">As discussed in the previous chapter, a few socio-demographic characteristics such as age and social class may influence people’s views on redistribution. In addition to that, other factors related to their view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0"/>
    <w:bookmarkStart w:id="55" w:name="who-deserves-welfare-policies"/>
    <w:p>
      <w:pPr>
        <w:pStyle w:val="Heading2"/>
      </w:pPr>
      <w:r>
        <w:t xml:space="preserve">3.2 Who deserves welfare policies?</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Oorschot and Roosma (</w:t>
      </w:r>
      <w:hyperlink w:anchor="ref-van_oorschot_social_2017">
        <w:r>
          <w:rPr>
            <w:rStyle w:val="Hyperlink"/>
          </w:rPr>
          <w:t xml:space="preserve">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4</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54" w:name="fig-deservingness"/>
          <w:p>
            <w:pPr>
              <w:jc w:val="center"/>
            </w:pPr>
            <w:pPr>
              <w:jc w:val="start"/>
              <w:spacing w:before="200"/>
              <w:pStyle w:val="ImageCaption"/>
            </w:pPr>
            <w:r>
              <w:t xml:space="preserve">Figure 4: Mean values for deservingness of government support by group and round</w:t>
            </w:r>
          </w:p>
          <w:p>
            <w:pPr>
              <w:pStyle w:val="Compact"/>
              <w:jc w:val="center"/>
            </w:pPr>
            <w:r>
              <w:drawing>
                <wp:inline>
                  <wp:extent cx="4160520" cy="3328415"/>
                  <wp:effectExtent b="0" l="0" r="0" t="0"/>
                  <wp:docPr descr="" title="" id="52" name="Picture"/>
                  <a:graphic>
                    <a:graphicData uri="http://schemas.openxmlformats.org/drawingml/2006/picture">
                      <pic:pic>
                        <pic:nvPicPr>
                          <pic:cNvPr descr="_assets/img/fig_deservingness.png" id="53" name="Picture"/>
                          <pic:cNvPicPr>
                            <a:picLocks noChangeArrowheads="1" noChangeAspect="1"/>
                          </pic:cNvPicPr>
                        </pic:nvPicPr>
                        <pic:blipFill>
                          <a:blip r:embed="rId51"/>
                          <a:stretch>
                            <a:fillRect/>
                          </a:stretch>
                        </pic:blipFill>
                        <pic:spPr bwMode="auto">
                          <a:xfrm>
                            <a:off x="0" y="0"/>
                            <a:ext cx="4160520" cy="3328415"/>
                          </a:xfrm>
                          <a:prstGeom prst="rect">
                            <a:avLst/>
                          </a:prstGeom>
                          <a:noFill/>
                          <a:ln w="9525">
                            <a:noFill/>
                            <a:headEnd/>
                            <a:tailEnd/>
                          </a:ln>
                        </pic:spPr>
                      </pic:pic>
                    </a:graphicData>
                  </a:graphic>
                </wp:inline>
              </w:drawing>
            </w:r>
          </w:p>
          <w:bookmarkEnd w:id="54"/>
        </w:tc>
      </w:tr>
    </w:tbl>
    <w:bookmarkEnd w:id="55"/>
    <w:bookmarkStart w:id="64" w:name="X2f995f4dd056c3e1199bd677d5f32d4a4024c85"/>
    <w:p>
      <w:pPr>
        <w:pStyle w:val="Heading2"/>
      </w:pPr>
      <w:r>
        <w:t xml:space="preserve">3.3 What are the consequences of social benefit?</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daniel.capistrano\AppData\Local\Program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benefits"/>
          <w:p>
            <w:pPr>
              <w:jc w:val="center"/>
            </w:pPr>
            <w:pPr>
              <w:jc w:val="start"/>
              <w:spacing w:before="200"/>
              <w:pStyle w:val="ImageCaption"/>
            </w:pPr>
            <w:r>
              <w:t xml:space="preserve">Figure 5: Mean values for beliefs in relation to social benefits by round</w:t>
            </w:r>
          </w:p>
          <w:p>
            <w:pPr>
              <w:pStyle w:val="Compact"/>
              <w:jc w:val="center"/>
            </w:pPr>
            <w:r>
              <w:drawing>
                <wp:inline>
                  <wp:extent cx="4160520" cy="3328416"/>
                  <wp:effectExtent b="0" l="0" r="0" t="0"/>
                  <wp:docPr descr="" title="" id="59" name="Picture"/>
                  <a:graphic>
                    <a:graphicData uri="http://schemas.openxmlformats.org/drawingml/2006/picture">
                      <pic:pic>
                        <pic:nvPicPr>
                          <pic:cNvPr descr="report_files/figure-docx/fig-benefits-1.png" id="60" name="Picture"/>
                          <pic:cNvPicPr>
                            <a:picLocks noChangeArrowheads="1" noChangeAspect="1"/>
                          </pic:cNvPicPr>
                        </pic:nvPicPr>
                        <pic:blipFill>
                          <a:blip r:embed="rId58"/>
                          <a:stretch>
                            <a:fillRect/>
                          </a:stretch>
                        </pic:blipFill>
                        <pic:spPr bwMode="auto">
                          <a:xfrm>
                            <a:off x="0" y="0"/>
                            <a:ext cx="4160520" cy="3328416"/>
                          </a:xfrm>
                          <a:prstGeom prst="rect">
                            <a:avLst/>
                          </a:prstGeom>
                          <a:noFill/>
                          <a:ln w="9525">
                            <a:noFill/>
                            <a:headEnd/>
                            <a:tailEnd/>
                          </a:ln>
                        </pic:spPr>
                      </pic:pic>
                    </a:graphicData>
                  </a:graphic>
                </wp:inline>
              </w:drawing>
            </w:r>
          </w:p>
          <w:bookmarkEnd w:id="61"/>
        </w:tc>
      </w:tr>
    </w:tbl>
    <w:bookmarkStart w:id="63" w:name="pca"/>
    <w:p>
      <w:pPr>
        <w:pStyle w:val="Heading3"/>
      </w:pPr>
      <w:r>
        <w:t xml:space="preserve">3.3.1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3"/>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3"/>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2</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p>
      <w:pPr>
        <w:sectPr/>
      </w:pPr>
    </w:p>
    <w:tbl>
      <w:tblPr>
        <w:tblStyle w:val="Table"/>
        <w:tblW w:type="pct" w:w="5000"/>
        <w:tblLayout w:type="fixed"/>
        <w:tblLook w:firstRow="0" w:lastRow="0" w:firstColumn="0" w:lastColumn="0" w:noHBand="0" w:noVBand="0" w:val="0000"/>
      </w:tblPr>
      <w:tblGrid>
        <w:gridCol w:w="7920"/>
      </w:tblGrid>
      <w:tr>
        <w:tc>
          <w:tcPr/>
          <w:bookmarkStart w:id="62" w:name="tbl-multiv-beliefs"/>
          <w:p>
            <w:pPr>
              <w:jc w:val="center"/>
            </w:pPr>
            <w:pPr>
              <w:jc w:val="start"/>
              <w:spacing w:before="200"/>
              <w:pStyle w:val="ImageCaption"/>
            </w:pPr>
            <w:r>
              <w:t xml:space="preserve">Table 2: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rFonts w:ascii="Calibri" w:hAnsi="Calibri"/>
                      <w:sz w:val="20"/>
                    </w:rPr>
                    <w:t xml:space="preserve">Abbreviation: 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62"/>
        </w:tc>
      </w:tr>
    </w:tbl>
    <w:p>
      <w:pPr>
        <w:sectPr>
          <w:pgSz w:h="11906" w:w="16838" w:orient="landscape"/>
        </w:sectPr>
      </w:pPr>
    </w:p>
    <w:bookmarkEnd w:id="63"/>
    <w:bookmarkEnd w:id="64"/>
    <w:bookmarkEnd w:id="65"/>
    <w:bookmarkStart w:id="85" w:name="sec-change"/>
    <w:p>
      <w:pPr>
        <w:pStyle w:val="Heading1"/>
      </w:pPr>
      <w:r>
        <w:t xml:space="preserve">4. Has the support changed over time?</w:t>
      </w:r>
    </w:p>
    <w:p>
      <w:pPr>
        <w:pStyle w:val="FirstParagraph"/>
      </w:pPr>
      <w:r>
        <w:t xml:space="preserve">However, the average support varies substantially over time. The</w:t>
      </w:r>
      <w:r>
        <w:t xml:space="preserve"> </w:t>
      </w:r>
      <w:hyperlink w:anchor="fig-ess-time">
        <w:r>
          <w:rPr>
            <w:rStyle w:val="Hyperlink"/>
          </w:rPr>
          <w:t xml:space="preserve">Figure 6</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69" w:name="fig-ess-time"/>
          <w:p>
            <w:pPr>
              <w:jc w:val="center"/>
            </w:pPr>
            <w:pPr>
              <w:jc w:val="start"/>
              <w:spacing w:before="200"/>
              <w:pStyle w:val="ImageCaption"/>
            </w:pPr>
            <w:r>
              <w:t xml:space="preserve">Figure 6: Mean values for</w:t>
            </w:r>
            <w:r>
              <w:t xml:space="preserve"> </w:t>
            </w:r>
            <w:r>
              <w:t xml:space="preserve">‘Government should reduce income differences’</w:t>
            </w:r>
            <w:r>
              <w:t xml:space="preserve"> </w:t>
            </w:r>
            <w:r>
              <w:t xml:space="preserve">by round</w:t>
            </w:r>
          </w:p>
          <w:p>
            <w:pPr>
              <w:pStyle w:val="Compact"/>
              <w:jc w:val="center"/>
            </w:pPr>
            <w:r>
              <w:drawing>
                <wp:inline>
                  <wp:extent cx="4160520" cy="3328416"/>
                  <wp:effectExtent b="0" l="0" r="0" t="0"/>
                  <wp:docPr descr="" title="" id="67" name="Picture"/>
                  <a:graphic>
                    <a:graphicData uri="http://schemas.openxmlformats.org/drawingml/2006/picture">
                      <pic:pic>
                        <pic:nvPicPr>
                          <pic:cNvPr descr="report_files/figure-docx/fig-ess-time-1.png" id="68" name="Picture"/>
                          <pic:cNvPicPr>
                            <a:picLocks noChangeArrowheads="1" noChangeAspect="1"/>
                          </pic:cNvPicPr>
                        </pic:nvPicPr>
                        <pic:blipFill>
                          <a:blip r:embed="rId66"/>
                          <a:stretch>
                            <a:fillRect/>
                          </a:stretch>
                        </pic:blipFill>
                        <pic:spPr bwMode="auto">
                          <a:xfrm>
                            <a:off x="0" y="0"/>
                            <a:ext cx="4160520" cy="3328416"/>
                          </a:xfrm>
                          <a:prstGeom prst="rect">
                            <a:avLst/>
                          </a:prstGeom>
                          <a:noFill/>
                          <a:ln w="9525">
                            <a:noFill/>
                            <a:headEnd/>
                            <a:tailEnd/>
                          </a:ln>
                        </pic:spPr>
                      </pic:pic>
                    </a:graphicData>
                  </a:graphic>
                </wp:inline>
              </w:drawing>
            </w:r>
          </w:p>
          <w:bookmarkEnd w:id="69"/>
        </w:tc>
      </w:tr>
    </w:tbl>
    <w:p>
      <w:pPr>
        <w:pStyle w:val="BodyText"/>
      </w:pPr>
      <w:hyperlink w:anchor="fig-vs-time">
        <w:r>
          <w:rPr>
            <w:rStyle w:val="Hyperlink"/>
          </w:rPr>
          <w:t xml:space="preserve">Figure 7</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73" w:name="fig-vs-time"/>
          <w:p>
            <w:pPr>
              <w:jc w:val="center"/>
            </w:pPr>
            <w:pPr>
              <w:jc w:val="start"/>
              <w:spacing w:before="200"/>
              <w:pStyle w:val="ImageCaption"/>
            </w:pPr>
            <w:r>
              <w:t xml:space="preserve">Figure 7: Density plot for</w:t>
            </w:r>
            <w:r>
              <w:t xml:space="preserve"> </w:t>
            </w:r>
            <w:r>
              <w:t xml:space="preserve">‘in favour of redistribution of wealth’</w:t>
            </w:r>
            <w:r>
              <w:t xml:space="preserve"> </w:t>
            </w:r>
            <w:r>
              <w:t xml:space="preserve">by survey year</w:t>
            </w:r>
          </w:p>
          <w:p>
            <w:pPr>
              <w:pStyle w:val="Compact"/>
              <w:jc w:val="center"/>
            </w:pPr>
            <w:r>
              <w:drawing>
                <wp:inline>
                  <wp:extent cx="4160520" cy="3328416"/>
                  <wp:effectExtent b="0" l="0" r="0" t="0"/>
                  <wp:docPr descr="" title="" id="71" name="Picture"/>
                  <a:graphic>
                    <a:graphicData uri="http://schemas.openxmlformats.org/drawingml/2006/picture">
                      <pic:pic>
                        <pic:nvPicPr>
                          <pic:cNvPr descr="report_files/figure-docx/fig-vs-time-1.png" id="72" name="Picture"/>
                          <pic:cNvPicPr>
                            <a:picLocks noChangeArrowheads="1" noChangeAspect="1"/>
                          </pic:cNvPicPr>
                        </pic:nvPicPr>
                        <pic:blipFill>
                          <a:blip r:embed="rId70"/>
                          <a:stretch>
                            <a:fillRect/>
                          </a:stretch>
                        </pic:blipFill>
                        <pic:spPr bwMode="auto">
                          <a:xfrm>
                            <a:off x="0" y="0"/>
                            <a:ext cx="4160520" cy="3328416"/>
                          </a:xfrm>
                          <a:prstGeom prst="rect">
                            <a:avLst/>
                          </a:prstGeom>
                          <a:noFill/>
                          <a:ln w="9525">
                            <a:noFill/>
                            <a:headEnd/>
                            <a:tailEnd/>
                          </a:ln>
                        </pic:spPr>
                      </pic:pic>
                    </a:graphicData>
                  </a:graphic>
                </wp:inline>
              </w:drawing>
            </w:r>
          </w:p>
          <w:bookmarkEnd w:id="73"/>
        </w:tc>
      </w:tr>
    </w:tbl>
    <w:bookmarkStart w:id="84" w:name="age"/>
    <w:p>
      <w:pPr>
        <w:pStyle w:val="Heading2"/>
      </w:pPr>
      <w:r>
        <w:t xml:space="preserve">4.1 Age</w:t>
      </w:r>
    </w:p>
    <w:p>
      <w:pPr>
        <w:pStyle w:val="FirstParagraph"/>
      </w:pPr>
      <w:r>
        <w:t xml:space="preserve">The relationship between age and the response variable seems to change across rounds. As shown in</w:t>
      </w:r>
      <w:r>
        <w:t xml:space="preserve"> </w:t>
      </w:r>
      <w:hyperlink w:anchor="fig-time-age">
        <w:r>
          <w:rPr>
            <w:rStyle w:val="Hyperlink"/>
          </w:rPr>
          <w:t xml:space="preserve">Figure 8</w:t>
        </w:r>
      </w:hyperlink>
      <w:r>
        <w:t xml:space="preserve">, early rounds suggest that older respondents support more the government reducing income differences, whereas the latest round (11) and round 8 seem to indicate the opposite.</w:t>
      </w:r>
    </w:p>
    <w:bookmarkStart w:id="78" w:name="ess"/>
    <w:p>
      <w:pPr>
        <w:pStyle w:val="Heading3"/>
      </w:pPr>
      <w:r>
        <w:t xml:space="preserve">4.1.1 ESS</w:t>
      </w:r>
    </w:p>
    <w:tbl>
      <w:tblPr>
        <w:tblStyle w:val="Table"/>
        <w:tblW w:type="pct" w:w="5000"/>
        <w:tblLayout w:type="fixed"/>
        <w:tblLook w:firstRow="0" w:lastRow="0" w:firstColumn="0" w:lastColumn="0" w:noHBand="0" w:noVBand="0" w:val="0000"/>
      </w:tblPr>
      <w:tblGrid>
        <w:gridCol w:w="7920"/>
      </w:tblGrid>
      <w:tr>
        <w:tc>
          <w:tcPr/>
          <w:bookmarkStart w:id="77" w:name="fig-time-age"/>
          <w:p>
            <w:pPr>
              <w:jc w:val="center"/>
            </w:pPr>
            <w:pPr>
              <w:jc w:val="start"/>
              <w:spacing w:before="200"/>
              <w:pStyle w:val="ImageCaption"/>
            </w:pPr>
            <w:r>
              <w:t xml:space="preserve">Figure 8: Scatter plot for</w:t>
            </w:r>
            <w:r>
              <w:t xml:space="preserve"> </w:t>
            </w:r>
            <w:r>
              <w:t xml:space="preserve">‘Government should reduce income differences’</w:t>
            </w:r>
            <w:r>
              <w:t xml:space="preserve"> </w:t>
            </w:r>
            <w:r>
              <w:t xml:space="preserve">by age and round</w:t>
            </w:r>
          </w:p>
          <w:p>
            <w:pPr>
              <w:pStyle w:val="Compact"/>
              <w:jc w:val="center"/>
            </w:pPr>
            <w:r>
              <w:drawing>
                <wp:inline>
                  <wp:extent cx="4160520" cy="3566160"/>
                  <wp:effectExtent b="0" l="0" r="0" t="0"/>
                  <wp:docPr descr="" title="" id="75" name="Picture"/>
                  <a:graphic>
                    <a:graphicData uri="http://schemas.openxmlformats.org/drawingml/2006/picture">
                      <pic:pic>
                        <pic:nvPicPr>
                          <pic:cNvPr descr="_assets/img/fig_ess_age.png" id="76" name="Picture"/>
                          <pic:cNvPicPr>
                            <a:picLocks noChangeArrowheads="1" noChangeAspect="1"/>
                          </pic:cNvPicPr>
                        </pic:nvPicPr>
                        <pic:blipFill>
                          <a:blip r:embed="rId74"/>
                          <a:stretch>
                            <a:fillRect/>
                          </a:stretch>
                        </pic:blipFill>
                        <pic:spPr bwMode="auto">
                          <a:xfrm>
                            <a:off x="0" y="0"/>
                            <a:ext cx="4160520" cy="3566160"/>
                          </a:xfrm>
                          <a:prstGeom prst="rect">
                            <a:avLst/>
                          </a:prstGeom>
                          <a:noFill/>
                          <a:ln w="9525">
                            <a:noFill/>
                            <a:headEnd/>
                            <a:tailEnd/>
                          </a:ln>
                        </pic:spPr>
                      </pic:pic>
                    </a:graphicData>
                  </a:graphic>
                </wp:inline>
              </w:drawing>
            </w:r>
          </w:p>
          <w:bookmarkEnd w:id="77"/>
        </w:tc>
      </w:tr>
    </w:tbl>
    <w:bookmarkEnd w:id="78"/>
    <w:bookmarkStart w:id="83" w:name="ess-1"/>
    <w:p>
      <w:pPr>
        <w:pStyle w:val="Heading3"/>
      </w:pPr>
      <w:r>
        <w:t xml:space="preserve">4.1.2 ESS</w:t>
      </w:r>
    </w:p>
    <w:tbl>
      <w:tblPr>
        <w:tblStyle w:val="Table"/>
        <w:tblW w:type="pct" w:w="5000"/>
        <w:tblLayout w:type="fixed"/>
        <w:tblLook w:firstRow="0" w:lastRow="0" w:firstColumn="0" w:lastColumn="0" w:noHBand="0" w:noVBand="0" w:val="0000"/>
      </w:tblPr>
      <w:tblGrid>
        <w:gridCol w:w="7920"/>
      </w:tblGrid>
      <w:tr>
        <w:tc>
          <w:tcPr/>
          <w:bookmarkStart w:id="82" w:name="fig-ess-cohort"/>
          <w:p>
            <w:pPr>
              <w:jc w:val="center"/>
            </w:pPr>
            <w:pPr>
              <w:jc w:val="start"/>
              <w:spacing w:before="200"/>
              <w:pStyle w:val="ImageCaption"/>
            </w:pPr>
            <w:r>
              <w:t xml:space="preserve">Figure 9: Mean values for</w:t>
            </w:r>
            <w:r>
              <w:t xml:space="preserve"> </w:t>
            </w:r>
            <w:r>
              <w:t xml:space="preserve">‘Government should reduce income differences’</w:t>
            </w:r>
            <w:r>
              <w:t xml:space="preserve"> </w:t>
            </w:r>
            <w:r>
              <w:t xml:space="preserve">by false cohort and round</w:t>
            </w:r>
          </w:p>
          <w:p>
            <w:pPr>
              <w:pStyle w:val="Compact"/>
              <w:jc w:val="center"/>
            </w:pPr>
            <w:r>
              <w:drawing>
                <wp:inline>
                  <wp:extent cx="4160520" cy="3328416"/>
                  <wp:effectExtent b="0" l="0" r="0" t="0"/>
                  <wp:docPr descr="" title="" id="80" name="Picture"/>
                  <a:graphic>
                    <a:graphicData uri="http://schemas.openxmlformats.org/drawingml/2006/picture">
                      <pic:pic>
                        <pic:nvPicPr>
                          <pic:cNvPr descr="report_files/figure-docx/fig-ess-cohort-1.png" id="81" name="Picture"/>
                          <pic:cNvPicPr>
                            <a:picLocks noChangeArrowheads="1" noChangeAspect="1"/>
                          </pic:cNvPicPr>
                        </pic:nvPicPr>
                        <pic:blipFill>
                          <a:blip r:embed="rId79"/>
                          <a:stretch>
                            <a:fillRect/>
                          </a:stretch>
                        </pic:blipFill>
                        <pic:spPr bwMode="auto">
                          <a:xfrm>
                            <a:off x="0" y="0"/>
                            <a:ext cx="4160520" cy="3328416"/>
                          </a:xfrm>
                          <a:prstGeom prst="rect">
                            <a:avLst/>
                          </a:prstGeom>
                          <a:noFill/>
                          <a:ln w="9525">
                            <a:noFill/>
                            <a:headEnd/>
                            <a:tailEnd/>
                          </a:ln>
                        </pic:spPr>
                      </pic:pic>
                    </a:graphicData>
                  </a:graphic>
                </wp:inline>
              </w:drawing>
            </w:r>
          </w:p>
          <w:bookmarkEnd w:id="82"/>
        </w:tc>
      </w:tr>
    </w:tbl>
    <w:bookmarkEnd w:id="83"/>
    <w:bookmarkEnd w:id="84"/>
    <w:bookmarkEnd w:id="85"/>
    <w:bookmarkStart w:id="101" w:name="economic-crisis-and-covid19"/>
    <w:p>
      <w:pPr>
        <w:pStyle w:val="Heading1"/>
      </w:pPr>
      <w:r>
        <w:t xml:space="preserve">5. Economic crisis and Covid19</w:t>
      </w:r>
    </w:p>
    <w:p>
      <w:pPr>
        <w:pStyle w:val="FirstParagraph"/>
      </w:pPr>
      <w:r>
        <w:t xml:space="preserve">As shown in</w:t>
      </w:r>
      <w:r>
        <w:t xml:space="preserve"> </w:t>
      </w:r>
      <w:r>
        <w:rPr>
          <w:b/>
          <w:bCs/>
        </w:rPr>
        <w:t xml:space="preserve">?@fig-time-ess</w:t>
      </w:r>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94" w:name="time-series"/>
    <w:p>
      <w:pPr>
        <w:pStyle w:val="Heading2"/>
      </w:pPr>
      <w:r>
        <w:t xml:space="preserve">5.1 Time series</w:t>
      </w:r>
    </w:p>
    <w:p>
      <w:pPr>
        <w:pStyle w:val="FirstParagraph"/>
      </w:pPr>
      <w:hyperlink w:anchor="tbl-multiv-gincdif">
        <w:r>
          <w:rPr>
            <w:rStyle w:val="Hyperlink"/>
          </w:rPr>
          <w:t xml:space="preserve">Table 1</w:t>
        </w:r>
      </w:hyperlink>
      <w:r>
        <w:t xml:space="preserve"> </w:t>
      </w:r>
      <w:r>
        <w:t xml:space="preserve">suggests that both social class and feeling about household income are significant predictors of support for redistribution.</w:t>
      </w:r>
      <w:r>
        <w:t xml:space="preserve"> </w:t>
      </w:r>
      <w:hyperlink w:anchor="fig-time-hincfel">
        <w:r>
          <w:rPr>
            <w:rStyle w:val="Hyperlink"/>
          </w:rPr>
          <w:t xml:space="preserve">Figure 10</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89" w:name="fig-time-hincfel"/>
          <w:p>
            <w:pPr>
              <w:jc w:val="center"/>
            </w:pPr>
            <w:pPr>
              <w:jc w:val="start"/>
              <w:spacing w:before="200"/>
              <w:pStyle w:val="ImageCaption"/>
            </w:pPr>
            <w:r>
              <w:t xml:space="preserve">Figure 10: Average support for redistribution by financial situation (2002-2022)</w:t>
            </w:r>
          </w:p>
          <w:p>
            <w:pPr>
              <w:pStyle w:val="Compact"/>
              <w:jc w:val="center"/>
            </w:pPr>
            <w:r>
              <w:drawing>
                <wp:inline>
                  <wp:extent cx="4160520" cy="3328416"/>
                  <wp:effectExtent b="0" l="0" r="0" t="0"/>
                  <wp:docPr descr="" title="" id="87" name="Picture"/>
                  <a:graphic>
                    <a:graphicData uri="http://schemas.openxmlformats.org/drawingml/2006/picture">
                      <pic:pic>
                        <pic:nvPicPr>
                          <pic:cNvPr descr="report_files/figure-docx/fig-time-hincfel-1.png" id="88" name="Picture"/>
                          <pic:cNvPicPr>
                            <a:picLocks noChangeArrowheads="1" noChangeAspect="1"/>
                          </pic:cNvPicPr>
                        </pic:nvPicPr>
                        <pic:blipFill>
                          <a:blip r:embed="rId86"/>
                          <a:stretch>
                            <a:fillRect/>
                          </a:stretch>
                        </pic:blipFill>
                        <pic:spPr bwMode="auto">
                          <a:xfrm>
                            <a:off x="0" y="0"/>
                            <a:ext cx="4160520" cy="3328416"/>
                          </a:xfrm>
                          <a:prstGeom prst="rect">
                            <a:avLst/>
                          </a:prstGeom>
                          <a:noFill/>
                          <a:ln w="9525">
                            <a:noFill/>
                            <a:headEnd/>
                            <a:tailEnd/>
                          </a:ln>
                        </pic:spPr>
                      </pic:pic>
                    </a:graphicData>
                  </a:graphic>
                </wp:inline>
              </w:drawing>
            </w:r>
          </w:p>
          <w:bookmarkEnd w:id="89"/>
        </w:tc>
      </w:tr>
    </w:tbl>
    <w:p>
      <w:pPr>
        <w:pStyle w:val="BodyText"/>
      </w:pPr>
      <w:r>
        <w:t xml:space="preserve">Conversely, the</w:t>
      </w:r>
      <w:r>
        <w:t xml:space="preserve"> </w:t>
      </w:r>
      <w:hyperlink w:anchor="fig-time-class5">
        <w:r>
          <w:rPr>
            <w:rStyle w:val="Hyperlink"/>
          </w:rPr>
          <w:t xml:space="preserve">Figure 11</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93" w:name="fig-time-class5"/>
          <w:p>
            <w:pPr>
              <w:jc w:val="center"/>
            </w:pPr>
            <w:pPr>
              <w:jc w:val="start"/>
              <w:spacing w:before="200"/>
              <w:pStyle w:val="ImageCaption"/>
            </w:pPr>
            <w:r>
              <w:t xml:space="preserve">Figure 11: Average support for redistribution by social class (2002-2022)</w:t>
            </w:r>
          </w:p>
          <w:p>
            <w:pPr>
              <w:pStyle w:val="Compact"/>
              <w:jc w:val="center"/>
            </w:pPr>
            <w:r>
              <w:drawing>
                <wp:inline>
                  <wp:extent cx="4160520" cy="3328416"/>
                  <wp:effectExtent b="0" l="0" r="0" t="0"/>
                  <wp:docPr descr="" title="" id="91" name="Picture"/>
                  <a:graphic>
                    <a:graphicData uri="http://schemas.openxmlformats.org/drawingml/2006/picture">
                      <pic:pic>
                        <pic:nvPicPr>
                          <pic:cNvPr descr="report_files/figure-docx/fig-time-class5-1.png" id="92" name="Picture"/>
                          <pic:cNvPicPr>
                            <a:picLocks noChangeArrowheads="1" noChangeAspect="1"/>
                          </pic:cNvPicPr>
                        </pic:nvPicPr>
                        <pic:blipFill>
                          <a:blip r:embed="rId90"/>
                          <a:stretch>
                            <a:fillRect/>
                          </a:stretch>
                        </pic:blipFill>
                        <pic:spPr bwMode="auto">
                          <a:xfrm>
                            <a:off x="0" y="0"/>
                            <a:ext cx="4160520" cy="3328416"/>
                          </a:xfrm>
                          <a:prstGeom prst="rect">
                            <a:avLst/>
                          </a:prstGeom>
                          <a:noFill/>
                          <a:ln w="9525">
                            <a:noFill/>
                            <a:headEnd/>
                            <a:tailEnd/>
                          </a:ln>
                        </pic:spPr>
                      </pic:pic>
                    </a:graphicData>
                  </a:graphic>
                </wp:inline>
              </w:drawing>
            </w:r>
          </w:p>
          <w:bookmarkEnd w:id="93"/>
        </w:tc>
      </w:tr>
    </w:tbl>
    <w:bookmarkEnd w:id="94"/>
    <w:bookmarkStart w:id="99" w:name="job-loss"/>
    <w:p>
      <w:pPr>
        <w:pStyle w:val="Heading2"/>
      </w:pPr>
      <w:r>
        <w:t xml:space="preserve">5.2 Job loss</w:t>
      </w:r>
    </w:p>
    <w:tbl>
      <w:tblPr>
        <w:tblStyle w:val="Table"/>
        <w:tblW w:type="pct" w:w="5000"/>
        <w:tblLayout w:type="fixed"/>
        <w:tblLook w:firstRow="0" w:lastRow="0" w:firstColumn="0" w:lastColumn="0" w:noHBand="0" w:noVBand="0" w:val="0000"/>
      </w:tblPr>
      <w:tblGrid>
        <w:gridCol w:w="7920"/>
      </w:tblGrid>
      <w:tr>
        <w:tc>
          <w:tcPr/>
          <w:bookmarkStart w:id="98" w:name="fig-time-jobloss"/>
          <w:p>
            <w:pPr>
              <w:jc w:val="center"/>
            </w:pPr>
            <w:pPr>
              <w:jc w:val="start"/>
              <w:spacing w:before="200"/>
              <w:pStyle w:val="ImageCaption"/>
            </w:pPr>
            <w:r>
              <w:t xml:space="preserve">Figure 12: Average support for redistribution by social class (2002-2022)</w:t>
            </w:r>
          </w:p>
          <w:p>
            <w:pPr>
              <w:pStyle w:val="Compact"/>
              <w:jc w:val="center"/>
            </w:pPr>
            <w:r>
              <w:drawing>
                <wp:inline>
                  <wp:extent cx="4160520" cy="3328416"/>
                  <wp:effectExtent b="0" l="0" r="0" t="0"/>
                  <wp:docPr descr="" title="" id="96" name="Picture"/>
                  <a:graphic>
                    <a:graphicData uri="http://schemas.openxmlformats.org/drawingml/2006/picture">
                      <pic:pic>
                        <pic:nvPicPr>
                          <pic:cNvPr descr="report_files/figure-docx/fig-time-jobloss-1.png" id="97" name="Picture"/>
                          <pic:cNvPicPr>
                            <a:picLocks noChangeArrowheads="1" noChangeAspect="1"/>
                          </pic:cNvPicPr>
                        </pic:nvPicPr>
                        <pic:blipFill>
                          <a:blip r:embed="rId95"/>
                          <a:stretch>
                            <a:fillRect/>
                          </a:stretch>
                        </pic:blipFill>
                        <pic:spPr bwMode="auto">
                          <a:xfrm>
                            <a:off x="0" y="0"/>
                            <a:ext cx="4160520" cy="3328416"/>
                          </a:xfrm>
                          <a:prstGeom prst="rect">
                            <a:avLst/>
                          </a:prstGeom>
                          <a:noFill/>
                          <a:ln w="9525">
                            <a:noFill/>
                            <a:headEnd/>
                            <a:tailEnd/>
                          </a:ln>
                        </pic:spPr>
                      </pic:pic>
                    </a:graphicData>
                  </a:graphic>
                </wp:inline>
              </w:drawing>
            </w:r>
          </w:p>
          <w:bookmarkEnd w:id="98"/>
        </w:tc>
      </w:tr>
    </w:tbl>
    <w:bookmarkEnd w:id="99"/>
    <w:bookmarkStart w:id="100" w:name="multivariate-analysis-1"/>
    <w:p>
      <w:pPr>
        <w:pStyle w:val="Heading2"/>
      </w:pPr>
      <w:r>
        <w:t xml:space="preserve">5.3 Multivariate analysis</w:t>
      </w:r>
    </w:p>
    <w:p>
      <w:pPr>
        <w:pStyle w:val="FirstParagraph"/>
      </w:pPr>
      <w:r>
        <w:t xml:space="preserve">We created a multivariate regression model to assess the extent to which these individual factors are associated support for government reducing differences in income levels in Ireland. In order to The</w:t>
      </w:r>
      <w:r>
        <w:t xml:space="preserve"> </w:t>
      </w:r>
      <w:hyperlink w:anchor="tbl-multiv-gincdif">
        <w:r>
          <w:rPr>
            <w:rStyle w:val="Hyperlink"/>
          </w:rPr>
          <w:t xml:space="preserve">Table 1</w:t>
        </w:r>
      </w:hyperlink>
      <w:r>
        <w:t xml:space="preserve"> </w:t>
      </w:r>
      <w:r>
        <w:t xml:space="preserve">below shows the coefficients of the OLS regression model. The overall explanatory power of the model is low, indicating that the small set of variables selected do not provide enough information to predict support appropriately. The effect of age seems to be neglectable. Both the social class and subjective income suggest that respondents in more precarious economic situation tend to be more favourable of the government reducing income differences.</w:t>
      </w:r>
    </w:p>
    <w:bookmarkEnd w:id="100"/>
    <w:bookmarkEnd w:id="101"/>
    <w:bookmarkStart w:id="133" w:name="references"/>
    <w:p>
      <w:pPr>
        <w:pStyle w:val="Heading1"/>
      </w:pPr>
      <w:r>
        <w:t xml:space="preserve">References</w:t>
      </w:r>
    </w:p>
    <w:bookmarkStart w:id="132" w:name="refs"/>
    <w:bookmarkStart w:id="103"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2">
        <w:r>
          <w:rPr>
            <w:rStyle w:val="Hyperlink"/>
          </w:rPr>
          <w:t xml:space="preserve">https://doi.org/10.1177/09589287241290742</w:t>
        </w:r>
      </w:hyperlink>
      <w:r>
        <w:t xml:space="preserve">.</w:t>
      </w:r>
    </w:p>
    <w:bookmarkEnd w:id="103"/>
    <w:bookmarkStart w:id="105"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04">
        <w:r>
          <w:rPr>
            <w:rStyle w:val="Hyperlink"/>
          </w:rPr>
          <w:t xml:space="preserve">https://doi.org/10.1016/j.jebo.2021.03.017</w:t>
        </w:r>
      </w:hyperlink>
      <w:r>
        <w:t xml:space="preserve">.</w:t>
      </w:r>
    </w:p>
    <w:bookmarkEnd w:id="105"/>
    <w:bookmarkStart w:id="107"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06">
        <w:r>
          <w:rPr>
            <w:rStyle w:val="Hyperlink"/>
          </w:rPr>
          <w:t xml:space="preserve">https://doi.org/10.1177/09589287211066469</w:t>
        </w:r>
      </w:hyperlink>
      <w:r>
        <w:t xml:space="preserve">.</w:t>
      </w:r>
    </w:p>
    <w:bookmarkEnd w:id="107"/>
    <w:bookmarkStart w:id="109"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08">
        <w:r>
          <w:rPr>
            <w:rStyle w:val="Hyperlink"/>
          </w:rPr>
          <w:t xml:space="preserve">https://doi.org/10.1111/j.1467-9477.2008.00211.x</w:t>
        </w:r>
      </w:hyperlink>
      <w:r>
        <w:t xml:space="preserve">.</w:t>
      </w:r>
    </w:p>
    <w:bookmarkEnd w:id="109"/>
    <w:bookmarkStart w:id="111"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10">
        <w:r>
          <w:rPr>
            <w:rStyle w:val="Hyperlink"/>
          </w:rPr>
          <w:t xml:space="preserve">https://doi.org/10.1177/0958928720978012</w:t>
        </w:r>
      </w:hyperlink>
      <w:r>
        <w:t xml:space="preserve">.</w:t>
      </w:r>
    </w:p>
    <w:bookmarkEnd w:id="111"/>
    <w:bookmarkStart w:id="113"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12">
        <w:r>
          <w:rPr>
            <w:rStyle w:val="Hyperlink"/>
          </w:rPr>
          <w:t xml:space="preserve">https://doi.org/10.1007/s11205-011-9915-5</w:t>
        </w:r>
      </w:hyperlink>
      <w:r>
        <w:t xml:space="preserve">.</w:t>
      </w:r>
    </w:p>
    <w:bookmarkEnd w:id="113"/>
    <w:bookmarkStart w:id="115"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14">
        <w:r>
          <w:rPr>
            <w:rStyle w:val="Hyperlink"/>
          </w:rPr>
          <w:t xml:space="preserve">https://doi.org/10.26504/rs176</w:t>
        </w:r>
      </w:hyperlink>
      <w:r>
        <w:t xml:space="preserve">.</w:t>
      </w:r>
    </w:p>
    <w:bookmarkEnd w:id="115"/>
    <w:bookmarkStart w:id="117"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16">
        <w:r>
          <w:rPr>
            <w:rStyle w:val="Hyperlink"/>
          </w:rPr>
          <w:t xml:space="preserve">https://doi.org/10.1017/psrm.2023.57</w:t>
        </w:r>
      </w:hyperlink>
      <w:r>
        <w:t xml:space="preserve">.</w:t>
      </w:r>
    </w:p>
    <w:bookmarkEnd w:id="117"/>
    <w:bookmarkStart w:id="118"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18"/>
    <w:bookmarkStart w:id="120"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19">
        <w:r>
          <w:rPr>
            <w:rStyle w:val="Hyperlink"/>
          </w:rPr>
          <w:t xml:space="preserve">https://doi.org/10.1177/0268580906061379</w:t>
        </w:r>
      </w:hyperlink>
      <w:r>
        <w:t xml:space="preserve">.</w:t>
      </w:r>
    </w:p>
    <w:bookmarkEnd w:id="120"/>
    <w:bookmarkStart w:id="121" w:name="ref-van_oorschot_social_2017"/>
    <w:p>
      <w:pPr>
        <w:pStyle w:val="Bibliography"/>
      </w:pPr>
      <w:r>
        <w:t xml:space="preserve">Oorschot, Wim van, and Femke Roosma. 2017.</w:t>
      </w:r>
      <w:r>
        <w:t xml:space="preserve"> </w:t>
      </w:r>
      <w:r>
        <w:t xml:space="preserve">“The Social Legitimacy of Differently Targeted Benefits.”</w:t>
      </w:r>
    </w:p>
    <w:bookmarkEnd w:id="121"/>
    <w:bookmarkStart w:id="123"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22">
        <w:r>
          <w:rPr>
            <w:rStyle w:val="Hyperlink"/>
          </w:rPr>
          <w:t xml:space="preserve">https://doi.org/10.26504/jr7</w:t>
        </w:r>
      </w:hyperlink>
      <w:r>
        <w:t xml:space="preserve">.</w:t>
      </w:r>
    </w:p>
    <w:bookmarkEnd w:id="123"/>
    <w:bookmarkStart w:id="125"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24">
        <w:r>
          <w:rPr>
            <w:rStyle w:val="Hyperlink"/>
          </w:rPr>
          <w:t xml:space="preserve">https://doi.org/10.3390/soc9030050</w:t>
        </w:r>
      </w:hyperlink>
      <w:r>
        <w:t xml:space="preserve">.</w:t>
      </w:r>
    </w:p>
    <w:bookmarkEnd w:id="125"/>
    <w:bookmarkStart w:id="127"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26">
        <w:r>
          <w:rPr>
            <w:rStyle w:val="Hyperlink"/>
          </w:rPr>
          <w:t xml:space="preserve">https://doi.org/10.11126/stanford/9780804782524.001.0001</w:t>
        </w:r>
      </w:hyperlink>
      <w:r>
        <w:t xml:space="preserve">.</w:t>
      </w:r>
    </w:p>
    <w:bookmarkEnd w:id="127"/>
    <w:bookmarkStart w:id="129"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28">
        <w:r>
          <w:rPr>
            <w:rStyle w:val="Hyperlink"/>
          </w:rPr>
          <w:t xml:space="preserve">https://scholar.google.com/scholar?cluster=14780777134980176311&amp;hl=en&amp;oi=scholarr</w:t>
        </w:r>
      </w:hyperlink>
      <w:r>
        <w:t xml:space="preserve">.</w:t>
      </w:r>
    </w:p>
    <w:bookmarkEnd w:id="129"/>
    <w:bookmarkStart w:id="131"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30">
        <w:r>
          <w:rPr>
            <w:rStyle w:val="Hyperlink"/>
          </w:rPr>
          <w:t xml:space="preserve">https://doi.org/10.1057/s41269-022-00260-9</w:t>
        </w:r>
      </w:hyperlink>
      <w:r>
        <w:t xml:space="preserve">.</w:t>
      </w:r>
    </w:p>
    <w:bookmarkEnd w:id="131"/>
    <w:bookmarkEnd w:id="132"/>
    <w:bookmarkEnd w:id="133"/>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66" Target="media/rId66.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70" Target="media/rId70.png" /><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2" Target="https://doi.org/10.1007/s11205-011-9915-5" TargetMode="External" /><Relationship Type="http://schemas.openxmlformats.org/officeDocument/2006/relationships/hyperlink" Id="rId104" Target="https://doi.org/10.1016/j.jebo.2021.03.017" TargetMode="External" /><Relationship Type="http://schemas.openxmlformats.org/officeDocument/2006/relationships/hyperlink" Id="rId116" Target="https://doi.org/10.1017/psrm.2023.57" TargetMode="External" /><Relationship Type="http://schemas.openxmlformats.org/officeDocument/2006/relationships/hyperlink" Id="rId130" Target="https://doi.org/10.1057/s41269-022-00260-9" TargetMode="External" /><Relationship Type="http://schemas.openxmlformats.org/officeDocument/2006/relationships/hyperlink" Id="rId108" Target="https://doi.org/10.1111/j.1467-9477.2008.00211.x" TargetMode="External" /><Relationship Type="http://schemas.openxmlformats.org/officeDocument/2006/relationships/hyperlink" Id="rId126" Target="https://doi.org/10.11126/stanford/9780804782524.001.0001" TargetMode="External" /><Relationship Type="http://schemas.openxmlformats.org/officeDocument/2006/relationships/hyperlink" Id="rId119" Target="https://doi.org/10.1177/0268580906061379" TargetMode="External" /><Relationship Type="http://schemas.openxmlformats.org/officeDocument/2006/relationships/hyperlink" Id="rId110" Target="https://doi.org/10.1177/0958928720978012" TargetMode="External" /><Relationship Type="http://schemas.openxmlformats.org/officeDocument/2006/relationships/hyperlink" Id="rId106" Target="https://doi.org/10.1177/09589287211066469" TargetMode="External" /><Relationship Type="http://schemas.openxmlformats.org/officeDocument/2006/relationships/hyperlink" Id="rId102" Target="https://doi.org/10.1177/09589287241290742" TargetMode="External" /><Relationship Type="http://schemas.openxmlformats.org/officeDocument/2006/relationships/hyperlink" Id="rId122" Target="https://doi.org/10.26504/jr7" TargetMode="External" /><Relationship Type="http://schemas.openxmlformats.org/officeDocument/2006/relationships/hyperlink" Id="rId114" Target="https://doi.org/10.26504/rs176" TargetMode="External" /><Relationship Type="http://schemas.openxmlformats.org/officeDocument/2006/relationships/hyperlink" Id="rId124" Target="https://doi.org/10.3390/soc9030050" TargetMode="External" /><Relationship Type="http://schemas.openxmlformats.org/officeDocument/2006/relationships/hyperlink" Id="rId128"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2" Target="https://doi.org/10.1007/s11205-011-9915-5" TargetMode="External" /><Relationship Type="http://schemas.openxmlformats.org/officeDocument/2006/relationships/hyperlink" Id="rId104" Target="https://doi.org/10.1016/j.jebo.2021.03.017" TargetMode="External" /><Relationship Type="http://schemas.openxmlformats.org/officeDocument/2006/relationships/hyperlink" Id="rId116" Target="https://doi.org/10.1017/psrm.2023.57" TargetMode="External" /><Relationship Type="http://schemas.openxmlformats.org/officeDocument/2006/relationships/hyperlink" Id="rId130" Target="https://doi.org/10.1057/s41269-022-00260-9" TargetMode="External" /><Relationship Type="http://schemas.openxmlformats.org/officeDocument/2006/relationships/hyperlink" Id="rId108" Target="https://doi.org/10.1111/j.1467-9477.2008.00211.x" TargetMode="External" /><Relationship Type="http://schemas.openxmlformats.org/officeDocument/2006/relationships/hyperlink" Id="rId126" Target="https://doi.org/10.11126/stanford/9780804782524.001.0001" TargetMode="External" /><Relationship Type="http://schemas.openxmlformats.org/officeDocument/2006/relationships/hyperlink" Id="rId119" Target="https://doi.org/10.1177/0268580906061379" TargetMode="External" /><Relationship Type="http://schemas.openxmlformats.org/officeDocument/2006/relationships/hyperlink" Id="rId110" Target="https://doi.org/10.1177/0958928720978012" TargetMode="External" /><Relationship Type="http://schemas.openxmlformats.org/officeDocument/2006/relationships/hyperlink" Id="rId106" Target="https://doi.org/10.1177/09589287211066469" TargetMode="External" /><Relationship Type="http://schemas.openxmlformats.org/officeDocument/2006/relationships/hyperlink" Id="rId102" Target="https://doi.org/10.1177/09589287241290742" TargetMode="External" /><Relationship Type="http://schemas.openxmlformats.org/officeDocument/2006/relationships/hyperlink" Id="rId122" Target="https://doi.org/10.26504/jr7" TargetMode="External" /><Relationship Type="http://schemas.openxmlformats.org/officeDocument/2006/relationships/hyperlink" Id="rId114" Target="https://doi.org/10.26504/rs176" TargetMode="External" /><Relationship Type="http://schemas.openxmlformats.org/officeDocument/2006/relationships/hyperlink" Id="rId124" Target="https://doi.org/10.3390/soc9030050" TargetMode="External" /><Relationship Type="http://schemas.openxmlformats.org/officeDocument/2006/relationships/hyperlink" Id="rId128"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2025-07-08T14:39:27Z</dcterms:created>
  <dcterms:modified xsi:type="dcterms:W3CDTF">2025-07-08T14:39:27Z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