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B2F32" w14:textId="77777777" w:rsidR="002B0E5A" w:rsidRDefault="00823BCA">
      <w:pPr>
        <w:pStyle w:val="Title"/>
      </w:pPr>
      <w:r>
        <w:t>Public support for welfare and redistributive policies in Ireland</w:t>
      </w:r>
    </w:p>
    <w:p w14:paraId="000B2F33" w14:textId="77777777" w:rsidR="002B0E5A" w:rsidRDefault="00823BCA">
      <w:pPr>
        <w:pStyle w:val="Author"/>
      </w:pPr>
      <w:r>
        <w:t>Daniel Capistrano</w:t>
      </w:r>
    </w:p>
    <w:p w14:paraId="000B2F34" w14:textId="77777777" w:rsidR="002B0E5A" w:rsidRDefault="00823BCA">
      <w:pPr>
        <w:pStyle w:val="Author"/>
      </w:pPr>
      <w:r>
        <w:t>Bertrand Maître</w:t>
      </w:r>
    </w:p>
    <w:p w14:paraId="000B2F35" w14:textId="77777777" w:rsidR="002B0E5A" w:rsidRDefault="00823BCA">
      <w:pPr>
        <w:pStyle w:val="Author"/>
      </w:pPr>
      <w:r>
        <w:t>Helen Russell</w:t>
      </w:r>
    </w:p>
    <w:sdt>
      <w:sdtPr>
        <w:id w:val="-1746876787"/>
        <w:docPartObj>
          <w:docPartGallery w:val="Table of Contents"/>
          <w:docPartUnique/>
        </w:docPartObj>
      </w:sdtPr>
      <w:sdtEndPr/>
      <w:sdtContent>
        <w:p w14:paraId="000B2F36" w14:textId="77777777" w:rsidR="002B0E5A" w:rsidRDefault="00823BCA">
          <w:r>
            <w:t>Table of contents</w:t>
          </w:r>
        </w:p>
        <w:p w14:paraId="3489139F" w14:textId="1107F776" w:rsidR="009C6489" w:rsidRDefault="00823BCA">
          <w:pPr>
            <w:pStyle w:val="TOC1"/>
            <w:rPr>
              <w:rFonts w:asciiTheme="minorHAnsi" w:eastAsiaTheme="minorEastAsia" w:hAnsiTheme="minorHAnsi" w:cstheme="minorBidi"/>
              <w:caps w:val="0"/>
              <w:color w:val="auto"/>
              <w:kern w:val="2"/>
              <w:sz w:val="24"/>
              <w:szCs w:val="24"/>
              <w:lang w:eastAsia="en-IE"/>
              <w14:ligatures w14:val="standardContextual"/>
            </w:rPr>
          </w:pPr>
          <w:r>
            <w:fldChar w:fldCharType="begin"/>
          </w:r>
          <w:r>
            <w:instrText>TOC \o "1-3" \h \z \u</w:instrText>
          </w:r>
          <w:r>
            <w:fldChar w:fldCharType="separate"/>
          </w:r>
          <w:hyperlink w:anchor="_Toc210752617" w:history="1">
            <w:r w:rsidR="009C6489" w:rsidRPr="005B0D60">
              <w:rPr>
                <w:rStyle w:val="Hyperlink"/>
              </w:rPr>
              <w:t>Executive summary</w:t>
            </w:r>
            <w:r w:rsidR="009C6489">
              <w:rPr>
                <w:webHidden/>
              </w:rPr>
              <w:tab/>
            </w:r>
            <w:r w:rsidR="009C6489">
              <w:rPr>
                <w:webHidden/>
              </w:rPr>
              <w:fldChar w:fldCharType="begin"/>
            </w:r>
            <w:r w:rsidR="009C6489">
              <w:rPr>
                <w:webHidden/>
              </w:rPr>
              <w:instrText xml:space="preserve"> PAGEREF _Toc210752617 \h </w:instrText>
            </w:r>
            <w:r w:rsidR="009C6489">
              <w:rPr>
                <w:webHidden/>
              </w:rPr>
            </w:r>
            <w:r w:rsidR="009C6489">
              <w:rPr>
                <w:webHidden/>
              </w:rPr>
              <w:fldChar w:fldCharType="separate"/>
            </w:r>
            <w:r w:rsidR="009C6489">
              <w:rPr>
                <w:webHidden/>
              </w:rPr>
              <w:t>1</w:t>
            </w:r>
            <w:r w:rsidR="009C6489">
              <w:rPr>
                <w:webHidden/>
              </w:rPr>
              <w:fldChar w:fldCharType="end"/>
            </w:r>
          </w:hyperlink>
        </w:p>
        <w:p w14:paraId="09C27B0E" w14:textId="00C75098" w:rsidR="009C6489" w:rsidRDefault="009C6489">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752618" w:history="1">
            <w:r w:rsidRPr="005B0D60">
              <w:rPr>
                <w:rStyle w:val="Hyperlink"/>
              </w:rPr>
              <w:t>1. Introduction</w:t>
            </w:r>
            <w:r>
              <w:rPr>
                <w:webHidden/>
              </w:rPr>
              <w:tab/>
            </w:r>
            <w:r>
              <w:rPr>
                <w:webHidden/>
              </w:rPr>
              <w:fldChar w:fldCharType="begin"/>
            </w:r>
            <w:r>
              <w:rPr>
                <w:webHidden/>
              </w:rPr>
              <w:instrText xml:space="preserve"> PAGEREF _Toc210752618 \h </w:instrText>
            </w:r>
            <w:r>
              <w:rPr>
                <w:webHidden/>
              </w:rPr>
            </w:r>
            <w:r>
              <w:rPr>
                <w:webHidden/>
              </w:rPr>
              <w:fldChar w:fldCharType="separate"/>
            </w:r>
            <w:r>
              <w:rPr>
                <w:webHidden/>
              </w:rPr>
              <w:t>1</w:t>
            </w:r>
            <w:r>
              <w:rPr>
                <w:webHidden/>
              </w:rPr>
              <w:fldChar w:fldCharType="end"/>
            </w:r>
          </w:hyperlink>
        </w:p>
        <w:p w14:paraId="04F775B9" w14:textId="2D4D24FF"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19" w:history="1">
            <w:r w:rsidRPr="005B0D60">
              <w:rPr>
                <w:rStyle w:val="Hyperlink"/>
              </w:rPr>
              <w:t>1.1 Previous research</w:t>
            </w:r>
            <w:r>
              <w:rPr>
                <w:webHidden/>
              </w:rPr>
              <w:tab/>
            </w:r>
            <w:r>
              <w:rPr>
                <w:webHidden/>
              </w:rPr>
              <w:fldChar w:fldCharType="begin"/>
            </w:r>
            <w:r>
              <w:rPr>
                <w:webHidden/>
              </w:rPr>
              <w:instrText xml:space="preserve"> PAGEREF _Toc210752619 \h </w:instrText>
            </w:r>
            <w:r>
              <w:rPr>
                <w:webHidden/>
              </w:rPr>
            </w:r>
            <w:r>
              <w:rPr>
                <w:webHidden/>
              </w:rPr>
              <w:fldChar w:fldCharType="separate"/>
            </w:r>
            <w:r>
              <w:rPr>
                <w:webHidden/>
              </w:rPr>
              <w:t>1</w:t>
            </w:r>
            <w:r>
              <w:rPr>
                <w:webHidden/>
              </w:rPr>
              <w:fldChar w:fldCharType="end"/>
            </w:r>
          </w:hyperlink>
        </w:p>
        <w:p w14:paraId="246BDF13" w14:textId="6D5765DC"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20" w:history="1">
            <w:r w:rsidRPr="005B0D60">
              <w:rPr>
                <w:rStyle w:val="Hyperlink"/>
                <w:noProof/>
              </w:rPr>
              <w:t>1.1.1 Societal level influences</w:t>
            </w:r>
            <w:r>
              <w:rPr>
                <w:noProof/>
                <w:webHidden/>
              </w:rPr>
              <w:tab/>
            </w:r>
            <w:r>
              <w:rPr>
                <w:noProof/>
                <w:webHidden/>
              </w:rPr>
              <w:fldChar w:fldCharType="begin"/>
            </w:r>
            <w:r>
              <w:rPr>
                <w:noProof/>
                <w:webHidden/>
              </w:rPr>
              <w:instrText xml:space="preserve"> PAGEREF _Toc210752620 \h </w:instrText>
            </w:r>
            <w:r>
              <w:rPr>
                <w:noProof/>
                <w:webHidden/>
              </w:rPr>
            </w:r>
            <w:r>
              <w:rPr>
                <w:noProof/>
                <w:webHidden/>
              </w:rPr>
              <w:fldChar w:fldCharType="separate"/>
            </w:r>
            <w:r>
              <w:rPr>
                <w:noProof/>
                <w:webHidden/>
              </w:rPr>
              <w:t>1</w:t>
            </w:r>
            <w:r>
              <w:rPr>
                <w:noProof/>
                <w:webHidden/>
              </w:rPr>
              <w:fldChar w:fldCharType="end"/>
            </w:r>
          </w:hyperlink>
        </w:p>
        <w:p w14:paraId="59599D77" w14:textId="0448EA77"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21" w:history="1">
            <w:r w:rsidRPr="005B0D60">
              <w:rPr>
                <w:rStyle w:val="Hyperlink"/>
                <w:noProof/>
              </w:rPr>
              <w:t>1.1.2 Socio-demographic predictors of welfare attitudes</w:t>
            </w:r>
            <w:r>
              <w:rPr>
                <w:noProof/>
                <w:webHidden/>
              </w:rPr>
              <w:tab/>
            </w:r>
            <w:r>
              <w:rPr>
                <w:noProof/>
                <w:webHidden/>
              </w:rPr>
              <w:fldChar w:fldCharType="begin"/>
            </w:r>
            <w:r>
              <w:rPr>
                <w:noProof/>
                <w:webHidden/>
              </w:rPr>
              <w:instrText xml:space="preserve"> PAGEREF _Toc210752621 \h </w:instrText>
            </w:r>
            <w:r>
              <w:rPr>
                <w:noProof/>
                <w:webHidden/>
              </w:rPr>
            </w:r>
            <w:r>
              <w:rPr>
                <w:noProof/>
                <w:webHidden/>
              </w:rPr>
              <w:fldChar w:fldCharType="separate"/>
            </w:r>
            <w:r>
              <w:rPr>
                <w:noProof/>
                <w:webHidden/>
              </w:rPr>
              <w:t>1</w:t>
            </w:r>
            <w:r>
              <w:rPr>
                <w:noProof/>
                <w:webHidden/>
              </w:rPr>
              <w:fldChar w:fldCharType="end"/>
            </w:r>
          </w:hyperlink>
        </w:p>
        <w:p w14:paraId="5DFAB598" w14:textId="4825D442"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22" w:history="1">
            <w:r w:rsidRPr="005B0D60">
              <w:rPr>
                <w:rStyle w:val="Hyperlink"/>
                <w:noProof/>
              </w:rPr>
              <w:t>1.1.3 Political attitudes and welfare attitudes</w:t>
            </w:r>
            <w:r>
              <w:rPr>
                <w:noProof/>
                <w:webHidden/>
              </w:rPr>
              <w:tab/>
            </w:r>
            <w:r>
              <w:rPr>
                <w:noProof/>
                <w:webHidden/>
              </w:rPr>
              <w:fldChar w:fldCharType="begin"/>
            </w:r>
            <w:r>
              <w:rPr>
                <w:noProof/>
                <w:webHidden/>
              </w:rPr>
              <w:instrText xml:space="preserve"> PAGEREF _Toc210752622 \h </w:instrText>
            </w:r>
            <w:r>
              <w:rPr>
                <w:noProof/>
                <w:webHidden/>
              </w:rPr>
            </w:r>
            <w:r>
              <w:rPr>
                <w:noProof/>
                <w:webHidden/>
              </w:rPr>
              <w:fldChar w:fldCharType="separate"/>
            </w:r>
            <w:r>
              <w:rPr>
                <w:noProof/>
                <w:webHidden/>
              </w:rPr>
              <w:t>1</w:t>
            </w:r>
            <w:r>
              <w:rPr>
                <w:noProof/>
                <w:webHidden/>
              </w:rPr>
              <w:fldChar w:fldCharType="end"/>
            </w:r>
          </w:hyperlink>
        </w:p>
        <w:p w14:paraId="7615807A" w14:textId="1249B9E0"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23" w:history="1">
            <w:r w:rsidRPr="005B0D60">
              <w:rPr>
                <w:rStyle w:val="Hyperlink"/>
                <w:noProof/>
              </w:rPr>
              <w:t>1.1.4 Welfare for whom?</w:t>
            </w:r>
            <w:r>
              <w:rPr>
                <w:noProof/>
                <w:webHidden/>
              </w:rPr>
              <w:tab/>
            </w:r>
            <w:r>
              <w:rPr>
                <w:noProof/>
                <w:webHidden/>
              </w:rPr>
              <w:fldChar w:fldCharType="begin"/>
            </w:r>
            <w:r>
              <w:rPr>
                <w:noProof/>
                <w:webHidden/>
              </w:rPr>
              <w:instrText xml:space="preserve"> PAGEREF _Toc210752623 \h </w:instrText>
            </w:r>
            <w:r>
              <w:rPr>
                <w:noProof/>
                <w:webHidden/>
              </w:rPr>
            </w:r>
            <w:r>
              <w:rPr>
                <w:noProof/>
                <w:webHidden/>
              </w:rPr>
              <w:fldChar w:fldCharType="separate"/>
            </w:r>
            <w:r>
              <w:rPr>
                <w:noProof/>
                <w:webHidden/>
              </w:rPr>
              <w:t>1</w:t>
            </w:r>
            <w:r>
              <w:rPr>
                <w:noProof/>
                <w:webHidden/>
              </w:rPr>
              <w:fldChar w:fldCharType="end"/>
            </w:r>
          </w:hyperlink>
        </w:p>
        <w:p w14:paraId="31EEB69E" w14:textId="2BE156F8"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24" w:history="1">
            <w:r w:rsidRPr="005B0D60">
              <w:rPr>
                <w:rStyle w:val="Hyperlink"/>
                <w:noProof/>
              </w:rPr>
              <w:t>1.1.5 Experimental studies of welfare attitudes</w:t>
            </w:r>
            <w:r>
              <w:rPr>
                <w:noProof/>
                <w:webHidden/>
              </w:rPr>
              <w:tab/>
            </w:r>
            <w:r>
              <w:rPr>
                <w:noProof/>
                <w:webHidden/>
              </w:rPr>
              <w:fldChar w:fldCharType="begin"/>
            </w:r>
            <w:r>
              <w:rPr>
                <w:noProof/>
                <w:webHidden/>
              </w:rPr>
              <w:instrText xml:space="preserve"> PAGEREF _Toc210752624 \h </w:instrText>
            </w:r>
            <w:r>
              <w:rPr>
                <w:noProof/>
                <w:webHidden/>
              </w:rPr>
            </w:r>
            <w:r>
              <w:rPr>
                <w:noProof/>
                <w:webHidden/>
              </w:rPr>
              <w:fldChar w:fldCharType="separate"/>
            </w:r>
            <w:r>
              <w:rPr>
                <w:noProof/>
                <w:webHidden/>
              </w:rPr>
              <w:t>1</w:t>
            </w:r>
            <w:r>
              <w:rPr>
                <w:noProof/>
                <w:webHidden/>
              </w:rPr>
              <w:fldChar w:fldCharType="end"/>
            </w:r>
          </w:hyperlink>
        </w:p>
        <w:p w14:paraId="2DE08D43" w14:textId="612D1708"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25" w:history="1">
            <w:r w:rsidRPr="005B0D60">
              <w:rPr>
                <w:rStyle w:val="Hyperlink"/>
              </w:rPr>
              <w:t>1.2 Methods and data</w:t>
            </w:r>
            <w:r>
              <w:rPr>
                <w:webHidden/>
              </w:rPr>
              <w:tab/>
            </w:r>
            <w:r>
              <w:rPr>
                <w:webHidden/>
              </w:rPr>
              <w:fldChar w:fldCharType="begin"/>
            </w:r>
            <w:r>
              <w:rPr>
                <w:webHidden/>
              </w:rPr>
              <w:instrText xml:space="preserve"> PAGEREF _Toc210752625 \h </w:instrText>
            </w:r>
            <w:r>
              <w:rPr>
                <w:webHidden/>
              </w:rPr>
            </w:r>
            <w:r>
              <w:rPr>
                <w:webHidden/>
              </w:rPr>
              <w:fldChar w:fldCharType="separate"/>
            </w:r>
            <w:r>
              <w:rPr>
                <w:webHidden/>
              </w:rPr>
              <w:t>1</w:t>
            </w:r>
            <w:r>
              <w:rPr>
                <w:webHidden/>
              </w:rPr>
              <w:fldChar w:fldCharType="end"/>
            </w:r>
          </w:hyperlink>
        </w:p>
        <w:p w14:paraId="1A981038" w14:textId="4787385D" w:rsidR="009C6489" w:rsidRDefault="009C6489">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752626" w:history="1">
            <w:r w:rsidRPr="005B0D60">
              <w:rPr>
                <w:rStyle w:val="Hyperlink"/>
              </w:rPr>
              <w:t>2. Who supports redistribution?</w:t>
            </w:r>
            <w:r>
              <w:rPr>
                <w:webHidden/>
              </w:rPr>
              <w:tab/>
            </w:r>
            <w:r>
              <w:rPr>
                <w:webHidden/>
              </w:rPr>
              <w:fldChar w:fldCharType="begin"/>
            </w:r>
            <w:r>
              <w:rPr>
                <w:webHidden/>
              </w:rPr>
              <w:instrText xml:space="preserve"> PAGEREF _Toc210752626 \h </w:instrText>
            </w:r>
            <w:r>
              <w:rPr>
                <w:webHidden/>
              </w:rPr>
            </w:r>
            <w:r>
              <w:rPr>
                <w:webHidden/>
              </w:rPr>
              <w:fldChar w:fldCharType="separate"/>
            </w:r>
            <w:r>
              <w:rPr>
                <w:webHidden/>
              </w:rPr>
              <w:t>1</w:t>
            </w:r>
            <w:r>
              <w:rPr>
                <w:webHidden/>
              </w:rPr>
              <w:fldChar w:fldCharType="end"/>
            </w:r>
          </w:hyperlink>
        </w:p>
        <w:p w14:paraId="56B2F5C1" w14:textId="352CF24C"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27" w:history="1">
            <w:r w:rsidRPr="005B0D60">
              <w:rPr>
                <w:rStyle w:val="Hyperlink"/>
              </w:rPr>
              <w:t>2.1 Higher support in Ireland compared to other northern European countries</w:t>
            </w:r>
            <w:r>
              <w:rPr>
                <w:webHidden/>
              </w:rPr>
              <w:tab/>
            </w:r>
            <w:r>
              <w:rPr>
                <w:webHidden/>
              </w:rPr>
              <w:fldChar w:fldCharType="begin"/>
            </w:r>
            <w:r>
              <w:rPr>
                <w:webHidden/>
              </w:rPr>
              <w:instrText xml:space="preserve"> PAGEREF _Toc210752627 \h </w:instrText>
            </w:r>
            <w:r>
              <w:rPr>
                <w:webHidden/>
              </w:rPr>
            </w:r>
            <w:r>
              <w:rPr>
                <w:webHidden/>
              </w:rPr>
              <w:fldChar w:fldCharType="separate"/>
            </w:r>
            <w:r>
              <w:rPr>
                <w:webHidden/>
              </w:rPr>
              <w:t>1</w:t>
            </w:r>
            <w:r>
              <w:rPr>
                <w:webHidden/>
              </w:rPr>
              <w:fldChar w:fldCharType="end"/>
            </w:r>
          </w:hyperlink>
        </w:p>
        <w:p w14:paraId="2A8ADCE8" w14:textId="04E36703"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28" w:history="1">
            <w:r w:rsidRPr="005B0D60">
              <w:rPr>
                <w:rStyle w:val="Hyperlink"/>
              </w:rPr>
              <w:t>2.2 A third of the Irish population would would agree with higher taxes if it means more or better public services</w:t>
            </w:r>
            <w:r>
              <w:rPr>
                <w:webHidden/>
              </w:rPr>
              <w:tab/>
            </w:r>
            <w:r>
              <w:rPr>
                <w:webHidden/>
              </w:rPr>
              <w:fldChar w:fldCharType="begin"/>
            </w:r>
            <w:r>
              <w:rPr>
                <w:webHidden/>
              </w:rPr>
              <w:instrText xml:space="preserve"> PAGEREF _Toc210752628 \h </w:instrText>
            </w:r>
            <w:r>
              <w:rPr>
                <w:webHidden/>
              </w:rPr>
            </w:r>
            <w:r>
              <w:rPr>
                <w:webHidden/>
              </w:rPr>
              <w:fldChar w:fldCharType="separate"/>
            </w:r>
            <w:r>
              <w:rPr>
                <w:webHidden/>
              </w:rPr>
              <w:t>1</w:t>
            </w:r>
            <w:r>
              <w:rPr>
                <w:webHidden/>
              </w:rPr>
              <w:fldChar w:fldCharType="end"/>
            </w:r>
          </w:hyperlink>
        </w:p>
        <w:p w14:paraId="2C498A6C" w14:textId="73300FD9"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29" w:history="1">
            <w:r w:rsidRPr="005B0D60">
              <w:rPr>
                <w:rStyle w:val="Hyperlink"/>
              </w:rPr>
              <w:t>2.3 Female and lower SES respondents are more supportive of redistribution</w:t>
            </w:r>
            <w:r>
              <w:rPr>
                <w:webHidden/>
              </w:rPr>
              <w:tab/>
            </w:r>
            <w:r>
              <w:rPr>
                <w:webHidden/>
              </w:rPr>
              <w:fldChar w:fldCharType="begin"/>
            </w:r>
            <w:r>
              <w:rPr>
                <w:webHidden/>
              </w:rPr>
              <w:instrText xml:space="preserve"> PAGEREF _Toc210752629 \h </w:instrText>
            </w:r>
            <w:r>
              <w:rPr>
                <w:webHidden/>
              </w:rPr>
            </w:r>
            <w:r>
              <w:rPr>
                <w:webHidden/>
              </w:rPr>
              <w:fldChar w:fldCharType="separate"/>
            </w:r>
            <w:r>
              <w:rPr>
                <w:webHidden/>
              </w:rPr>
              <w:t>1</w:t>
            </w:r>
            <w:r>
              <w:rPr>
                <w:webHidden/>
              </w:rPr>
              <w:fldChar w:fldCharType="end"/>
            </w:r>
          </w:hyperlink>
        </w:p>
        <w:p w14:paraId="1C50186B" w14:textId="574CD83A"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0" w:history="1">
            <w:r w:rsidRPr="005B0D60">
              <w:rPr>
                <w:rStyle w:val="Hyperlink"/>
              </w:rPr>
              <w:t>2.4 Left-wing voters are more supportive of redistribution</w:t>
            </w:r>
            <w:r>
              <w:rPr>
                <w:webHidden/>
              </w:rPr>
              <w:tab/>
            </w:r>
            <w:r>
              <w:rPr>
                <w:webHidden/>
              </w:rPr>
              <w:fldChar w:fldCharType="begin"/>
            </w:r>
            <w:r>
              <w:rPr>
                <w:webHidden/>
              </w:rPr>
              <w:instrText xml:space="preserve"> PAGEREF _Toc210752630 \h </w:instrText>
            </w:r>
            <w:r>
              <w:rPr>
                <w:webHidden/>
              </w:rPr>
            </w:r>
            <w:r>
              <w:rPr>
                <w:webHidden/>
              </w:rPr>
              <w:fldChar w:fldCharType="separate"/>
            </w:r>
            <w:r>
              <w:rPr>
                <w:webHidden/>
              </w:rPr>
              <w:t>1</w:t>
            </w:r>
            <w:r>
              <w:rPr>
                <w:webHidden/>
              </w:rPr>
              <w:fldChar w:fldCharType="end"/>
            </w:r>
          </w:hyperlink>
        </w:p>
        <w:p w14:paraId="47C589C7" w14:textId="1213246B"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1" w:history="1">
            <w:r w:rsidRPr="005B0D60">
              <w:rPr>
                <w:rStyle w:val="Hyperlink"/>
              </w:rPr>
              <w:t>2.5 Age, gender and social class are relevant even controlling for economic activity, education and financial situation</w:t>
            </w:r>
            <w:r>
              <w:rPr>
                <w:webHidden/>
              </w:rPr>
              <w:tab/>
            </w:r>
            <w:r>
              <w:rPr>
                <w:webHidden/>
              </w:rPr>
              <w:fldChar w:fldCharType="begin"/>
            </w:r>
            <w:r>
              <w:rPr>
                <w:webHidden/>
              </w:rPr>
              <w:instrText xml:space="preserve"> PAGEREF _Toc210752631 \h </w:instrText>
            </w:r>
            <w:r>
              <w:rPr>
                <w:webHidden/>
              </w:rPr>
            </w:r>
            <w:r>
              <w:rPr>
                <w:webHidden/>
              </w:rPr>
              <w:fldChar w:fldCharType="separate"/>
            </w:r>
            <w:r>
              <w:rPr>
                <w:webHidden/>
              </w:rPr>
              <w:t>1</w:t>
            </w:r>
            <w:r>
              <w:rPr>
                <w:webHidden/>
              </w:rPr>
              <w:fldChar w:fldCharType="end"/>
            </w:r>
          </w:hyperlink>
        </w:p>
        <w:p w14:paraId="00436705" w14:textId="65502C0C" w:rsidR="009C6489" w:rsidRDefault="009C6489">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752632" w:history="1">
            <w:r w:rsidRPr="005B0D60">
              <w:rPr>
                <w:rStyle w:val="Hyperlink"/>
              </w:rPr>
              <w:t>3. What people think about welfare policies?</w:t>
            </w:r>
            <w:r>
              <w:rPr>
                <w:webHidden/>
              </w:rPr>
              <w:tab/>
            </w:r>
            <w:r>
              <w:rPr>
                <w:webHidden/>
              </w:rPr>
              <w:fldChar w:fldCharType="begin"/>
            </w:r>
            <w:r>
              <w:rPr>
                <w:webHidden/>
              </w:rPr>
              <w:instrText xml:space="preserve"> PAGEREF _Toc210752632 \h </w:instrText>
            </w:r>
            <w:r>
              <w:rPr>
                <w:webHidden/>
              </w:rPr>
            </w:r>
            <w:r>
              <w:rPr>
                <w:webHidden/>
              </w:rPr>
              <w:fldChar w:fldCharType="separate"/>
            </w:r>
            <w:r>
              <w:rPr>
                <w:webHidden/>
              </w:rPr>
              <w:t>1</w:t>
            </w:r>
            <w:r>
              <w:rPr>
                <w:webHidden/>
              </w:rPr>
              <w:fldChar w:fldCharType="end"/>
            </w:r>
          </w:hyperlink>
        </w:p>
        <w:p w14:paraId="34D3E87C" w14:textId="302545E9"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3" w:history="1">
            <w:r w:rsidRPr="005B0D60">
              <w:rPr>
                <w:rStyle w:val="Hyperlink"/>
              </w:rPr>
              <w:t>3.1 Meritocratic differences are acceptable for younger and right-wing respondents</w:t>
            </w:r>
            <w:r>
              <w:rPr>
                <w:webHidden/>
              </w:rPr>
              <w:tab/>
            </w:r>
            <w:r>
              <w:rPr>
                <w:webHidden/>
              </w:rPr>
              <w:fldChar w:fldCharType="begin"/>
            </w:r>
            <w:r>
              <w:rPr>
                <w:webHidden/>
              </w:rPr>
              <w:instrText xml:space="preserve"> PAGEREF _Toc210752633 \h </w:instrText>
            </w:r>
            <w:r>
              <w:rPr>
                <w:webHidden/>
              </w:rPr>
            </w:r>
            <w:r>
              <w:rPr>
                <w:webHidden/>
              </w:rPr>
              <w:fldChar w:fldCharType="separate"/>
            </w:r>
            <w:r>
              <w:rPr>
                <w:webHidden/>
              </w:rPr>
              <w:t>1</w:t>
            </w:r>
            <w:r>
              <w:rPr>
                <w:webHidden/>
              </w:rPr>
              <w:fldChar w:fldCharType="end"/>
            </w:r>
          </w:hyperlink>
        </w:p>
        <w:p w14:paraId="408AA355" w14:textId="5DF9B0E6"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4" w:history="1">
            <w:r w:rsidRPr="005B0D60">
              <w:rPr>
                <w:rStyle w:val="Hyperlink"/>
              </w:rPr>
              <w:t>3.2 The government should have more responsibility towards old citizens and working parents compared to the unemployed</w:t>
            </w:r>
            <w:r>
              <w:rPr>
                <w:webHidden/>
              </w:rPr>
              <w:tab/>
            </w:r>
            <w:r>
              <w:rPr>
                <w:webHidden/>
              </w:rPr>
              <w:fldChar w:fldCharType="begin"/>
            </w:r>
            <w:r>
              <w:rPr>
                <w:webHidden/>
              </w:rPr>
              <w:instrText xml:space="preserve"> PAGEREF _Toc210752634 \h </w:instrText>
            </w:r>
            <w:r>
              <w:rPr>
                <w:webHidden/>
              </w:rPr>
            </w:r>
            <w:r>
              <w:rPr>
                <w:webHidden/>
              </w:rPr>
              <w:fldChar w:fldCharType="separate"/>
            </w:r>
            <w:r>
              <w:rPr>
                <w:webHidden/>
              </w:rPr>
              <w:t>1</w:t>
            </w:r>
            <w:r>
              <w:rPr>
                <w:webHidden/>
              </w:rPr>
              <w:fldChar w:fldCharType="end"/>
            </w:r>
          </w:hyperlink>
        </w:p>
        <w:p w14:paraId="21A8C447" w14:textId="74D7089F"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5" w:history="1">
            <w:r w:rsidRPr="005B0D60">
              <w:rPr>
                <w:rStyle w:val="Hyperlink"/>
              </w:rPr>
              <w:t>3.3 The view that ‘Social benefits make people lazy’ is more prevalent in Ireland compared to the European average</w:t>
            </w:r>
            <w:r>
              <w:rPr>
                <w:webHidden/>
              </w:rPr>
              <w:tab/>
            </w:r>
            <w:r>
              <w:rPr>
                <w:webHidden/>
              </w:rPr>
              <w:fldChar w:fldCharType="begin"/>
            </w:r>
            <w:r>
              <w:rPr>
                <w:webHidden/>
              </w:rPr>
              <w:instrText xml:space="preserve"> PAGEREF _Toc210752635 \h </w:instrText>
            </w:r>
            <w:r>
              <w:rPr>
                <w:webHidden/>
              </w:rPr>
            </w:r>
            <w:r>
              <w:rPr>
                <w:webHidden/>
              </w:rPr>
              <w:fldChar w:fldCharType="separate"/>
            </w:r>
            <w:r>
              <w:rPr>
                <w:webHidden/>
              </w:rPr>
              <w:t>1</w:t>
            </w:r>
            <w:r>
              <w:rPr>
                <w:webHidden/>
              </w:rPr>
              <w:fldChar w:fldCharType="end"/>
            </w:r>
          </w:hyperlink>
        </w:p>
        <w:p w14:paraId="627EADCF" w14:textId="657F1A71"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6" w:history="1">
            <w:r w:rsidRPr="005B0D60">
              <w:rPr>
                <w:rStyle w:val="Hyperlink"/>
              </w:rPr>
              <w:t>3.4 Compared to male respondents, female respondents are less likely to agree that social benefits lead to equality</w:t>
            </w:r>
            <w:r>
              <w:rPr>
                <w:webHidden/>
              </w:rPr>
              <w:tab/>
            </w:r>
            <w:r>
              <w:rPr>
                <w:webHidden/>
              </w:rPr>
              <w:fldChar w:fldCharType="begin"/>
            </w:r>
            <w:r>
              <w:rPr>
                <w:webHidden/>
              </w:rPr>
              <w:instrText xml:space="preserve"> PAGEREF _Toc210752636 \h </w:instrText>
            </w:r>
            <w:r>
              <w:rPr>
                <w:webHidden/>
              </w:rPr>
            </w:r>
            <w:r>
              <w:rPr>
                <w:webHidden/>
              </w:rPr>
              <w:fldChar w:fldCharType="separate"/>
            </w:r>
            <w:r>
              <w:rPr>
                <w:webHidden/>
              </w:rPr>
              <w:t>1</w:t>
            </w:r>
            <w:r>
              <w:rPr>
                <w:webHidden/>
              </w:rPr>
              <w:fldChar w:fldCharType="end"/>
            </w:r>
          </w:hyperlink>
        </w:p>
        <w:p w14:paraId="30DECC1F" w14:textId="51CFDEE8"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7" w:history="1">
            <w:r w:rsidRPr="005B0D60">
              <w:rPr>
                <w:rStyle w:val="Hyperlink"/>
              </w:rPr>
              <w:t>3.5 Older, right-wing, and those with lower educational attainment are more likely to agree that social benefits make people lazy</w:t>
            </w:r>
            <w:r>
              <w:rPr>
                <w:webHidden/>
              </w:rPr>
              <w:tab/>
            </w:r>
            <w:r>
              <w:rPr>
                <w:webHidden/>
              </w:rPr>
              <w:fldChar w:fldCharType="begin"/>
            </w:r>
            <w:r>
              <w:rPr>
                <w:webHidden/>
              </w:rPr>
              <w:instrText xml:space="preserve"> PAGEREF _Toc210752637 \h </w:instrText>
            </w:r>
            <w:r>
              <w:rPr>
                <w:webHidden/>
              </w:rPr>
            </w:r>
            <w:r>
              <w:rPr>
                <w:webHidden/>
              </w:rPr>
              <w:fldChar w:fldCharType="separate"/>
            </w:r>
            <w:r>
              <w:rPr>
                <w:webHidden/>
              </w:rPr>
              <w:t>1</w:t>
            </w:r>
            <w:r>
              <w:rPr>
                <w:webHidden/>
              </w:rPr>
              <w:fldChar w:fldCharType="end"/>
            </w:r>
          </w:hyperlink>
        </w:p>
        <w:p w14:paraId="6E4986A5" w14:textId="648DCCAB"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8" w:history="1">
            <w:r w:rsidRPr="005B0D60">
              <w:rPr>
                <w:rStyle w:val="Hyperlink"/>
              </w:rPr>
              <w:t>3.6 Most respondents indicate that immigrants could receive social benefits after having worked and paid taxes for at least one year</w:t>
            </w:r>
            <w:r>
              <w:rPr>
                <w:webHidden/>
              </w:rPr>
              <w:tab/>
            </w:r>
            <w:r>
              <w:rPr>
                <w:webHidden/>
              </w:rPr>
              <w:fldChar w:fldCharType="begin"/>
            </w:r>
            <w:r>
              <w:rPr>
                <w:webHidden/>
              </w:rPr>
              <w:instrText xml:space="preserve"> PAGEREF _Toc210752638 \h </w:instrText>
            </w:r>
            <w:r>
              <w:rPr>
                <w:webHidden/>
              </w:rPr>
            </w:r>
            <w:r>
              <w:rPr>
                <w:webHidden/>
              </w:rPr>
              <w:fldChar w:fldCharType="separate"/>
            </w:r>
            <w:r>
              <w:rPr>
                <w:webHidden/>
              </w:rPr>
              <w:t>1</w:t>
            </w:r>
            <w:r>
              <w:rPr>
                <w:webHidden/>
              </w:rPr>
              <w:fldChar w:fldCharType="end"/>
            </w:r>
          </w:hyperlink>
        </w:p>
        <w:p w14:paraId="15BF496D" w14:textId="09F817A8"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39" w:history="1">
            <w:r w:rsidRPr="005B0D60">
              <w:rPr>
                <w:rStyle w:val="Hyperlink"/>
              </w:rPr>
              <w:t>3.7 Unfairly low wages are more relevant than unfairly high wage for support for redistribution</w:t>
            </w:r>
            <w:r>
              <w:rPr>
                <w:webHidden/>
              </w:rPr>
              <w:tab/>
            </w:r>
            <w:r>
              <w:rPr>
                <w:webHidden/>
              </w:rPr>
              <w:fldChar w:fldCharType="begin"/>
            </w:r>
            <w:r>
              <w:rPr>
                <w:webHidden/>
              </w:rPr>
              <w:instrText xml:space="preserve"> PAGEREF _Toc210752639 \h </w:instrText>
            </w:r>
            <w:r>
              <w:rPr>
                <w:webHidden/>
              </w:rPr>
            </w:r>
            <w:r>
              <w:rPr>
                <w:webHidden/>
              </w:rPr>
              <w:fldChar w:fldCharType="separate"/>
            </w:r>
            <w:r>
              <w:rPr>
                <w:webHidden/>
              </w:rPr>
              <w:t>1</w:t>
            </w:r>
            <w:r>
              <w:rPr>
                <w:webHidden/>
              </w:rPr>
              <w:fldChar w:fldCharType="end"/>
            </w:r>
          </w:hyperlink>
        </w:p>
        <w:p w14:paraId="66709A36" w14:textId="3DC7F1D0" w:rsidR="009C6489" w:rsidRDefault="009C6489">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752640" w:history="1">
            <w:r w:rsidRPr="005B0D60">
              <w:rPr>
                <w:rStyle w:val="Hyperlink"/>
              </w:rPr>
              <w:t>4. Has the support changed over time?</w:t>
            </w:r>
            <w:r>
              <w:rPr>
                <w:webHidden/>
              </w:rPr>
              <w:tab/>
            </w:r>
            <w:r>
              <w:rPr>
                <w:webHidden/>
              </w:rPr>
              <w:fldChar w:fldCharType="begin"/>
            </w:r>
            <w:r>
              <w:rPr>
                <w:webHidden/>
              </w:rPr>
              <w:instrText xml:space="preserve"> PAGEREF _Toc210752640 \h </w:instrText>
            </w:r>
            <w:r>
              <w:rPr>
                <w:webHidden/>
              </w:rPr>
            </w:r>
            <w:r>
              <w:rPr>
                <w:webHidden/>
              </w:rPr>
              <w:fldChar w:fldCharType="separate"/>
            </w:r>
            <w:r>
              <w:rPr>
                <w:webHidden/>
              </w:rPr>
              <w:t>1</w:t>
            </w:r>
            <w:r>
              <w:rPr>
                <w:webHidden/>
              </w:rPr>
              <w:fldChar w:fldCharType="end"/>
            </w:r>
          </w:hyperlink>
        </w:p>
        <w:p w14:paraId="08D8EBA1" w14:textId="6E8264F4"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41" w:history="1">
            <w:r w:rsidRPr="005B0D60">
              <w:rPr>
                <w:rStyle w:val="Hyperlink"/>
              </w:rPr>
              <w:t>4.1 Age and Gender</w:t>
            </w:r>
            <w:r>
              <w:rPr>
                <w:webHidden/>
              </w:rPr>
              <w:tab/>
            </w:r>
            <w:r>
              <w:rPr>
                <w:webHidden/>
              </w:rPr>
              <w:fldChar w:fldCharType="begin"/>
            </w:r>
            <w:r>
              <w:rPr>
                <w:webHidden/>
              </w:rPr>
              <w:instrText xml:space="preserve"> PAGEREF _Toc210752641 \h </w:instrText>
            </w:r>
            <w:r>
              <w:rPr>
                <w:webHidden/>
              </w:rPr>
            </w:r>
            <w:r>
              <w:rPr>
                <w:webHidden/>
              </w:rPr>
              <w:fldChar w:fldCharType="separate"/>
            </w:r>
            <w:r>
              <w:rPr>
                <w:webHidden/>
              </w:rPr>
              <w:t>1</w:t>
            </w:r>
            <w:r>
              <w:rPr>
                <w:webHidden/>
              </w:rPr>
              <w:fldChar w:fldCharType="end"/>
            </w:r>
          </w:hyperlink>
        </w:p>
        <w:p w14:paraId="04D42315" w14:textId="78BAE721" w:rsidR="009C6489" w:rsidRDefault="009C6489">
          <w:pPr>
            <w:pStyle w:val="TOC2"/>
            <w:rPr>
              <w:rFonts w:asciiTheme="minorHAnsi" w:eastAsiaTheme="minorEastAsia" w:hAnsiTheme="minorHAnsi" w:cstheme="minorBidi"/>
              <w:kern w:val="2"/>
              <w:sz w:val="24"/>
              <w:szCs w:val="24"/>
              <w:lang w:eastAsia="en-IE"/>
              <w14:ligatures w14:val="standardContextual"/>
            </w:rPr>
          </w:pPr>
          <w:hyperlink w:anchor="_Toc210752642" w:history="1">
            <w:r w:rsidRPr="005B0D60">
              <w:rPr>
                <w:rStyle w:val="Hyperlink"/>
              </w:rPr>
              <w:t>4.2 Relevant events</w:t>
            </w:r>
            <w:r>
              <w:rPr>
                <w:webHidden/>
              </w:rPr>
              <w:tab/>
            </w:r>
            <w:r>
              <w:rPr>
                <w:webHidden/>
              </w:rPr>
              <w:fldChar w:fldCharType="begin"/>
            </w:r>
            <w:r>
              <w:rPr>
                <w:webHidden/>
              </w:rPr>
              <w:instrText xml:space="preserve"> PAGEREF _Toc210752642 \h </w:instrText>
            </w:r>
            <w:r>
              <w:rPr>
                <w:webHidden/>
              </w:rPr>
            </w:r>
            <w:r>
              <w:rPr>
                <w:webHidden/>
              </w:rPr>
              <w:fldChar w:fldCharType="separate"/>
            </w:r>
            <w:r>
              <w:rPr>
                <w:webHidden/>
              </w:rPr>
              <w:t>1</w:t>
            </w:r>
            <w:r>
              <w:rPr>
                <w:webHidden/>
              </w:rPr>
              <w:fldChar w:fldCharType="end"/>
            </w:r>
          </w:hyperlink>
        </w:p>
        <w:p w14:paraId="59529AD1" w14:textId="3BCF46F7"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43" w:history="1">
            <w:r w:rsidRPr="005B0D60">
              <w:rPr>
                <w:rStyle w:val="Hyperlink"/>
                <w:noProof/>
              </w:rPr>
              <w:t>4.2.1 Attitudes are impacted by government campaigns</w:t>
            </w:r>
            <w:r>
              <w:rPr>
                <w:noProof/>
                <w:webHidden/>
              </w:rPr>
              <w:tab/>
            </w:r>
            <w:r>
              <w:rPr>
                <w:noProof/>
                <w:webHidden/>
              </w:rPr>
              <w:fldChar w:fldCharType="begin"/>
            </w:r>
            <w:r>
              <w:rPr>
                <w:noProof/>
                <w:webHidden/>
              </w:rPr>
              <w:instrText xml:space="preserve"> PAGEREF _Toc210752643 \h </w:instrText>
            </w:r>
            <w:r>
              <w:rPr>
                <w:noProof/>
                <w:webHidden/>
              </w:rPr>
            </w:r>
            <w:r>
              <w:rPr>
                <w:noProof/>
                <w:webHidden/>
              </w:rPr>
              <w:fldChar w:fldCharType="separate"/>
            </w:r>
            <w:r>
              <w:rPr>
                <w:noProof/>
                <w:webHidden/>
              </w:rPr>
              <w:t>1</w:t>
            </w:r>
            <w:r>
              <w:rPr>
                <w:noProof/>
                <w:webHidden/>
              </w:rPr>
              <w:fldChar w:fldCharType="end"/>
            </w:r>
          </w:hyperlink>
        </w:p>
        <w:p w14:paraId="510A3AFC" w14:textId="162FB79B"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44" w:history="1">
            <w:r w:rsidRPr="005B0D60">
              <w:rPr>
                <w:rStyle w:val="Hyperlink"/>
                <w:noProof/>
              </w:rPr>
              <w:t>4.2.2 Budget announcement</w:t>
            </w:r>
            <w:r>
              <w:rPr>
                <w:noProof/>
                <w:webHidden/>
              </w:rPr>
              <w:tab/>
            </w:r>
            <w:r>
              <w:rPr>
                <w:noProof/>
                <w:webHidden/>
              </w:rPr>
              <w:fldChar w:fldCharType="begin"/>
            </w:r>
            <w:r>
              <w:rPr>
                <w:noProof/>
                <w:webHidden/>
              </w:rPr>
              <w:instrText xml:space="preserve"> PAGEREF _Toc210752644 \h </w:instrText>
            </w:r>
            <w:r>
              <w:rPr>
                <w:noProof/>
                <w:webHidden/>
              </w:rPr>
            </w:r>
            <w:r>
              <w:rPr>
                <w:noProof/>
                <w:webHidden/>
              </w:rPr>
              <w:fldChar w:fldCharType="separate"/>
            </w:r>
            <w:r>
              <w:rPr>
                <w:noProof/>
                <w:webHidden/>
              </w:rPr>
              <w:t>1</w:t>
            </w:r>
            <w:r>
              <w:rPr>
                <w:noProof/>
                <w:webHidden/>
              </w:rPr>
              <w:fldChar w:fldCharType="end"/>
            </w:r>
          </w:hyperlink>
        </w:p>
        <w:p w14:paraId="1085C771" w14:textId="7DA0FA0A" w:rsidR="009C6489" w:rsidRDefault="009C6489">
          <w:pPr>
            <w:pStyle w:val="TOC3"/>
            <w:rPr>
              <w:rFonts w:asciiTheme="minorHAnsi" w:eastAsiaTheme="minorEastAsia" w:hAnsiTheme="minorHAnsi" w:cstheme="minorBidi"/>
              <w:noProof/>
              <w:kern w:val="2"/>
              <w:sz w:val="24"/>
              <w:szCs w:val="24"/>
              <w:lang w:eastAsia="en-IE"/>
              <w14:ligatures w14:val="standardContextual"/>
            </w:rPr>
          </w:pPr>
          <w:hyperlink w:anchor="_Toc210752645" w:history="1">
            <w:r w:rsidRPr="005B0D60">
              <w:rPr>
                <w:rStyle w:val="Hyperlink"/>
                <w:noProof/>
              </w:rPr>
              <w:t>4.2.3 Pandemic</w:t>
            </w:r>
            <w:r>
              <w:rPr>
                <w:noProof/>
                <w:webHidden/>
              </w:rPr>
              <w:tab/>
            </w:r>
            <w:r>
              <w:rPr>
                <w:noProof/>
                <w:webHidden/>
              </w:rPr>
              <w:fldChar w:fldCharType="begin"/>
            </w:r>
            <w:r>
              <w:rPr>
                <w:noProof/>
                <w:webHidden/>
              </w:rPr>
              <w:instrText xml:space="preserve"> PAGEREF _Toc210752645 \h </w:instrText>
            </w:r>
            <w:r>
              <w:rPr>
                <w:noProof/>
                <w:webHidden/>
              </w:rPr>
            </w:r>
            <w:r>
              <w:rPr>
                <w:noProof/>
                <w:webHidden/>
              </w:rPr>
              <w:fldChar w:fldCharType="separate"/>
            </w:r>
            <w:r>
              <w:rPr>
                <w:noProof/>
                <w:webHidden/>
              </w:rPr>
              <w:t>1</w:t>
            </w:r>
            <w:r>
              <w:rPr>
                <w:noProof/>
                <w:webHidden/>
              </w:rPr>
              <w:fldChar w:fldCharType="end"/>
            </w:r>
          </w:hyperlink>
        </w:p>
        <w:p w14:paraId="7740F11F" w14:textId="158C8FBC" w:rsidR="009C6489" w:rsidRDefault="009C6489">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752646" w:history="1">
            <w:r w:rsidRPr="005B0D60">
              <w:rPr>
                <w:rStyle w:val="Hyperlink"/>
              </w:rPr>
              <w:t>References</w:t>
            </w:r>
            <w:r>
              <w:rPr>
                <w:webHidden/>
              </w:rPr>
              <w:tab/>
            </w:r>
            <w:r>
              <w:rPr>
                <w:webHidden/>
              </w:rPr>
              <w:fldChar w:fldCharType="begin"/>
            </w:r>
            <w:r>
              <w:rPr>
                <w:webHidden/>
              </w:rPr>
              <w:instrText xml:space="preserve"> PAGEREF _Toc210752646 \h </w:instrText>
            </w:r>
            <w:r>
              <w:rPr>
                <w:webHidden/>
              </w:rPr>
            </w:r>
            <w:r>
              <w:rPr>
                <w:webHidden/>
              </w:rPr>
              <w:fldChar w:fldCharType="separate"/>
            </w:r>
            <w:r>
              <w:rPr>
                <w:webHidden/>
              </w:rPr>
              <w:t>1</w:t>
            </w:r>
            <w:r>
              <w:rPr>
                <w:webHidden/>
              </w:rPr>
              <w:fldChar w:fldCharType="end"/>
            </w:r>
          </w:hyperlink>
        </w:p>
        <w:p w14:paraId="000B2F37" w14:textId="116F1F83" w:rsidR="002B0E5A" w:rsidRDefault="00823BCA">
          <w:r>
            <w:fldChar w:fldCharType="end"/>
          </w:r>
        </w:p>
      </w:sdtContent>
    </w:sdt>
    <w:p w14:paraId="000B2F38" w14:textId="77777777" w:rsidR="002B0E5A" w:rsidRDefault="00823BCA">
      <w:pPr>
        <w:pStyle w:val="Heading1"/>
      </w:pPr>
      <w:bookmarkStart w:id="0" w:name="sec-summary"/>
      <w:bookmarkStart w:id="1" w:name="_Toc210752617"/>
      <w:r>
        <w:t>Executive summary</w:t>
      </w:r>
      <w:bookmarkEnd w:id="1"/>
    </w:p>
    <w:p w14:paraId="000B2F39" w14:textId="77777777" w:rsidR="002B0E5A" w:rsidRDefault="00823BCA">
      <w:pPr>
        <w:pStyle w:val="FirstParagraph"/>
      </w:pPr>
      <w:r>
        <w:t>Drawing on data from the European Social Survey (ESS), the current report presents findings of a research project that explored attitudes towards welfare and redistributive policies among Irish residents. The main findings of the report are:</w:t>
      </w:r>
    </w:p>
    <w:p w14:paraId="000B2F3A" w14:textId="6D6E57B1" w:rsidR="002B0E5A" w:rsidRDefault="00823BCA">
      <w:pPr>
        <w:numPr>
          <w:ilvl w:val="0"/>
          <w:numId w:val="9"/>
        </w:numPr>
      </w:pPr>
      <w:r>
        <w:t>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Figure 2.1</w:t>
        </w:r>
      </w:hyperlink>
      <w:r>
        <w:t>).</w:t>
      </w:r>
    </w:p>
    <w:p w14:paraId="000B2F3B" w14:textId="1FF29269" w:rsidR="002B0E5A" w:rsidRDefault="00823BCA">
      <w:pPr>
        <w:numPr>
          <w:ilvl w:val="0"/>
          <w:numId w:val="9"/>
        </w:numPr>
      </w:pPr>
      <w:r>
        <w:t>Females and those from lower social classes are more supportive of income redistribution (</w:t>
      </w:r>
      <w:hyperlink w:anchor="tbl-multiv-gincdif">
        <w:r>
          <w:rPr>
            <w:rStyle w:val="Hyperlink"/>
          </w:rPr>
          <w:t>Table 2.1</w:t>
        </w:r>
      </w:hyperlink>
      <w:r>
        <w:t>).</w:t>
      </w:r>
    </w:p>
    <w:p w14:paraId="000B2F3C" w14:textId="4828A3CD" w:rsidR="002B0E5A" w:rsidRDefault="00823BCA">
      <w:pPr>
        <w:numPr>
          <w:ilvl w:val="0"/>
          <w:numId w:val="9"/>
        </w:numPr>
      </w:pPr>
      <w:r>
        <w:t>Ireland has one of the highest proportions in Europe of respondents who believe that ‘social benefits make people lazy’ (</w:t>
      </w:r>
      <w:hyperlink w:anchor="fig-lazy">
        <w:r>
          <w:rPr>
            <w:rStyle w:val="Hyperlink"/>
          </w:rPr>
          <w:t>Figure 3.3</w:t>
        </w:r>
      </w:hyperlink>
      <w:r>
        <w:t>).</w:t>
      </w:r>
    </w:p>
    <w:p w14:paraId="000B2F3D" w14:textId="37EEA731" w:rsidR="002B0E5A" w:rsidRDefault="00823BCA">
      <w:pPr>
        <w:numPr>
          <w:ilvl w:val="0"/>
          <w:numId w:val="9"/>
        </w:numPr>
      </w:pPr>
      <w:r>
        <w:t>Younger, right-wing, and those with lower educational attainment are more likely to agree that social benefits make people lazy (</w:t>
      </w:r>
      <w:hyperlink w:anchor="tbl-multiv-beliefs">
        <w:r>
          <w:rPr>
            <w:rStyle w:val="Hyperlink"/>
          </w:rPr>
          <w:t>Table 3.1</w:t>
        </w:r>
      </w:hyperlink>
      <w:r>
        <w:t>).</w:t>
      </w:r>
    </w:p>
    <w:p w14:paraId="000B2F3E" w14:textId="22F20DD5" w:rsidR="002B0E5A" w:rsidRDefault="00823BCA">
      <w:pPr>
        <w:numPr>
          <w:ilvl w:val="0"/>
          <w:numId w:val="9"/>
        </w:numPr>
      </w:pPr>
      <w:r>
        <w:t>From 2009 to 2016 there was an increase in the proportion of respondents who agree that ‘social benefits lead to a more equal society’ (</w:t>
      </w:r>
      <w:hyperlink w:anchor="fig-benefits">
        <w:r>
          <w:rPr>
            <w:rStyle w:val="Hyperlink"/>
          </w:rPr>
          <w:t>Figure 3.2</w:t>
        </w:r>
      </w:hyperlink>
      <w:r>
        <w:t>).</w:t>
      </w:r>
    </w:p>
    <w:p w14:paraId="000B2F3F" w14:textId="74AC6DFD" w:rsidR="002B0E5A" w:rsidRDefault="00823BCA">
      <w:pPr>
        <w:numPr>
          <w:ilvl w:val="0"/>
          <w:numId w:val="9"/>
        </w:numPr>
      </w:pPr>
      <w:r>
        <w:t xml:space="preserve">In Ireland, perceptions of how unfairly high </w:t>
      </w:r>
      <w:proofErr w:type="gramStart"/>
      <w:r>
        <w:t>is the income of the rich</w:t>
      </w:r>
      <w:proofErr w:type="gramEnd"/>
      <w:r>
        <w:t xml:space="preserve"> is associated with support for redistribution as much as perceptions of how unfairly low </w:t>
      </w:r>
      <w:proofErr w:type="gramStart"/>
      <w:r>
        <w:t>is the income of the poor</w:t>
      </w:r>
      <w:proofErr w:type="gramEnd"/>
      <w:r>
        <w:t>. In countries such as Norway and France, unfairly high incomes are more strongly associated with support for redistribution (</w:t>
      </w:r>
      <w:hyperlink w:anchor="fig-fairness">
        <w:r>
          <w:rPr>
            <w:rStyle w:val="Hyperlink"/>
          </w:rPr>
          <w:t>Figure 3.5</w:t>
        </w:r>
      </w:hyperlink>
      <w:r>
        <w:t>).</w:t>
      </w:r>
    </w:p>
    <w:p w14:paraId="000B2F40" w14:textId="45B0E6A9" w:rsidR="002B0E5A" w:rsidRDefault="00823BCA">
      <w:pPr>
        <w:numPr>
          <w:ilvl w:val="0"/>
          <w:numId w:val="9"/>
        </w:numPr>
      </w:pPr>
      <w:r>
        <w:t>Support for income redistribution among the working class in Ireland is now at the highest level since 2002 (</w:t>
      </w:r>
      <w:hyperlink w:anchor="fig-time-class">
        <w:r>
          <w:rPr>
            <w:rStyle w:val="Hyperlink"/>
          </w:rPr>
          <w:t>Figure 4.2</w:t>
        </w:r>
      </w:hyperlink>
      <w:r>
        <w:t>).</w:t>
      </w:r>
    </w:p>
    <w:p w14:paraId="000B2F41" w14:textId="7F699A6C" w:rsidR="002B0E5A" w:rsidRDefault="00823BCA">
      <w:pPr>
        <w:numPr>
          <w:ilvl w:val="0"/>
          <w:numId w:val="9"/>
        </w:numPr>
      </w:pPr>
      <w:r>
        <w:t>Events such as government campaigns and budget announcements have significant but short-lived impact on welfare attitudes (</w:t>
      </w:r>
      <w:hyperlink w:anchor="fig-dsp-model">
        <w:r>
          <w:rPr>
            <w:rStyle w:val="Hyperlink"/>
          </w:rPr>
          <w:t>Figure 4.7</w:t>
        </w:r>
      </w:hyperlink>
      <w:r>
        <w:t>) and support for redistribution (</w:t>
      </w:r>
      <w:hyperlink w:anchor="fig-budget-model">
        <w:r>
          <w:rPr>
            <w:rStyle w:val="Hyperlink"/>
          </w:rPr>
          <w:t>Figure 4.9</w:t>
        </w:r>
      </w:hyperlink>
      <w:r>
        <w:t>).</w:t>
      </w:r>
    </w:p>
    <w:p w14:paraId="000B2F42" w14:textId="30EBB066" w:rsidR="002B0E5A" w:rsidRDefault="00823BCA">
      <w:pPr>
        <w:numPr>
          <w:ilvl w:val="0"/>
          <w:numId w:val="9"/>
        </w:numPr>
      </w:pPr>
      <w:r>
        <w:lastRenderedPageBreak/>
        <w:t>Those who experienced job loss during the COVID19 pandemic are more supportive of redistribution, regardless of their financial situation (</w:t>
      </w:r>
      <w:hyperlink w:anchor="fig-covid">
        <w:r>
          <w:rPr>
            <w:rStyle w:val="Hyperlink"/>
          </w:rPr>
          <w:t>Figure 4.10</w:t>
        </w:r>
      </w:hyperlink>
      <w:r>
        <w:t>).</w:t>
      </w:r>
    </w:p>
    <w:p w14:paraId="000B2F43" w14:textId="77777777" w:rsidR="002B0E5A" w:rsidRDefault="00823BCA">
      <w:pPr>
        <w:pStyle w:val="Heading1"/>
      </w:pPr>
      <w:bookmarkStart w:id="2" w:name="sec-introduction"/>
      <w:bookmarkStart w:id="3" w:name="_Toc210752618"/>
      <w:bookmarkEnd w:id="0"/>
      <w:r>
        <w:t>1. Introduction</w:t>
      </w:r>
      <w:bookmarkEnd w:id="3"/>
    </w:p>
    <w:p w14:paraId="000B2F44" w14:textId="77777777" w:rsidR="002B0E5A" w:rsidRDefault="00823BCA">
      <w:pPr>
        <w:pStyle w:val="FirstParagraph"/>
      </w:pPr>
      <w:r>
        <w:t>Many vulnerable individuals and families in Ireland, each with different profiles, circumstances, and needs, are struggling to make ends meet and are falling into poverty. According to 2024 figures from the Central Statistics Office (CSO), 12 per cent are at risk of poverty and 16 per cent experience material deprivation. A significant part of the Irish population relies on welfare benefits (social transfers), but the current level of support is often insufficient to protect them from poverty. Given the lim</w:t>
      </w:r>
      <w:r>
        <w:t>its to government finances and the competing demands for funding social welfare in Ireland, it is crucial to have a better understanding of the public support to State actions designed to address these challenges.</w:t>
      </w:r>
    </w:p>
    <w:p w14:paraId="000B2F45" w14:textId="583D71B8" w:rsidR="002B0E5A" w:rsidRDefault="00823BCA">
      <w:pPr>
        <w:pStyle w:val="BodyText"/>
      </w:pPr>
      <w:r>
        <w:t>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 (</w:t>
      </w:r>
      <w:hyperlink w:anchor="ref-roantree_poverty_2025">
        <w:r>
          <w:rPr>
            <w:rStyle w:val="Hyperlink"/>
          </w:rPr>
          <w:t>Roantree et al. 2025</w:t>
        </w:r>
      </w:hyperlink>
      <w:r>
        <w:t>). In this sense, the changing socio-economic environment provides valuable information to examine the factors associated with public support for welfare policies and income redistribution. To explore this, we analyse multiple rounds of the European Social Survey (ESS) conducted between 2002 and 2024.</w:t>
      </w:r>
    </w:p>
    <w:p w14:paraId="000B2F46" w14:textId="77777777" w:rsidR="002B0E5A" w:rsidRDefault="00823BCA">
      <w:pPr>
        <w:pStyle w:val="BodyText"/>
      </w:pPr>
      <w:r>
        <w:t>The research project was guide by the following general questions:</w:t>
      </w:r>
    </w:p>
    <w:p w14:paraId="000B2F47" w14:textId="77777777" w:rsidR="002B0E5A" w:rsidRDefault="00823BCA">
      <w:pPr>
        <w:numPr>
          <w:ilvl w:val="0"/>
          <w:numId w:val="10"/>
        </w:numPr>
      </w:pPr>
      <w:r>
        <w:rPr>
          <w:b/>
          <w:bCs/>
        </w:rPr>
        <w:t>Who</w:t>
      </w:r>
      <w:r>
        <w:t xml:space="preserve"> in Ireland supports income redistribution?</w:t>
      </w:r>
    </w:p>
    <w:p w14:paraId="000B2F48" w14:textId="77777777" w:rsidR="002B0E5A" w:rsidRDefault="00823BCA">
      <w:pPr>
        <w:numPr>
          <w:ilvl w:val="0"/>
          <w:numId w:val="10"/>
        </w:numPr>
      </w:pPr>
      <w:r>
        <w:rPr>
          <w:b/>
          <w:bCs/>
        </w:rPr>
        <w:t>What</w:t>
      </w:r>
      <w:r>
        <w:t xml:space="preserve"> do Irish residents think about welfare policies?</w:t>
      </w:r>
    </w:p>
    <w:p w14:paraId="000B2F49" w14:textId="77777777" w:rsidR="002B0E5A" w:rsidRDefault="00823BCA">
      <w:pPr>
        <w:numPr>
          <w:ilvl w:val="0"/>
          <w:numId w:val="10"/>
        </w:numPr>
      </w:pPr>
      <w:r>
        <w:t xml:space="preserve">Has the overall support for welfare policies and income redistribution </w:t>
      </w:r>
      <w:r>
        <w:rPr>
          <w:b/>
          <w:bCs/>
        </w:rPr>
        <w:t>changed</w:t>
      </w:r>
      <w:r>
        <w:t xml:space="preserve"> over time?</w:t>
      </w:r>
    </w:p>
    <w:p w14:paraId="000B2F4A" w14:textId="7E5995C1" w:rsidR="002B0E5A" w:rsidRDefault="00823BCA">
      <w:pPr>
        <w:pStyle w:val="FirstParagraph"/>
      </w:pPr>
      <w:hyperlink w:anchor="sec-who">
        <w:r>
          <w:rPr>
            <w:rStyle w:val="Hyperlink"/>
          </w:rPr>
          <w:t>Chapter 2</w:t>
        </w:r>
      </w:hyperlink>
      <w:r>
        <w:t xml:space="preserve"> in this report addresses the first question of a diffuse and generalised support for income and wealth redistribution in the Irish society. </w:t>
      </w:r>
      <w:hyperlink w:anchor="sec-what">
        <w:r>
          <w:rPr>
            <w:rStyle w:val="Hyperlink"/>
          </w:rPr>
          <w:t>Chapter 3</w:t>
        </w:r>
      </w:hyperlink>
      <w:r>
        <w:t xml:space="preserve">, addressing the second question, examines more specific support for welfare policies, beliefs about social benefits and their beneficiaries. Finally, </w:t>
      </w:r>
      <w:hyperlink w:anchor="sec-change">
        <w:r>
          <w:rPr>
            <w:rStyle w:val="Hyperlink"/>
          </w:rPr>
          <w:t>Chapter 4</w:t>
        </w:r>
      </w:hyperlink>
      <w:r>
        <w:t xml:space="preserve"> looks at change over time in relation to these topics and explores the possible impact of the 2008 economic recession and the 2020 pandemic.</w:t>
      </w:r>
    </w:p>
    <w:p w14:paraId="000B2F4B" w14:textId="77777777" w:rsidR="002B0E5A" w:rsidRDefault="00823BCA">
      <w:pPr>
        <w:pStyle w:val="Heading2"/>
      </w:pPr>
      <w:bookmarkStart w:id="4" w:name="previous-research"/>
      <w:bookmarkStart w:id="5" w:name="_Toc210752619"/>
      <w:r>
        <w:lastRenderedPageBreak/>
        <w:t>1.1 Previous research</w:t>
      </w:r>
      <w:bookmarkEnd w:id="5"/>
    </w:p>
    <w:p w14:paraId="000B2F4C" w14:textId="77777777" w:rsidR="002B0E5A" w:rsidRDefault="00823BCA">
      <w:pPr>
        <w:pStyle w:val="FirstParagraph"/>
      </w:pPr>
      <w:r>
        <w:t>There is a substantial body of research on attitudes to welfare policies and the factors that influence their development. The analyses presented in this report stem from the following theoretical advancements on this topic.</w:t>
      </w:r>
    </w:p>
    <w:p w14:paraId="000B2F4D" w14:textId="77777777" w:rsidR="002B0E5A" w:rsidRDefault="00823BCA">
      <w:pPr>
        <w:pStyle w:val="Heading3"/>
      </w:pPr>
      <w:bookmarkStart w:id="6" w:name="societal-level-influences"/>
      <w:bookmarkStart w:id="7" w:name="_Toc210752620"/>
      <w:r>
        <w:t>1.1.1 Societal level influences</w:t>
      </w:r>
      <w:bookmarkEnd w:id="7"/>
    </w:p>
    <w:p w14:paraId="000B2F4E" w14:textId="5CAD37EA" w:rsidR="002B0E5A" w:rsidRDefault="00823BCA">
      <w:pPr>
        <w:pStyle w:val="FirstParagraph"/>
      </w:pPr>
      <w:r>
        <w:t>First, while the literature highlights several macro-level correlates (e.g. political culture, trust in government), economic inequality stands out as the most discussed factor. Comparative research in Europe found higher support for income redistribution in countries with higher inequality (</w:t>
      </w:r>
      <w:hyperlink w:anchor="ref-velev_economic_2024">
        <w:r>
          <w:rPr>
            <w:rStyle w:val="Hyperlink"/>
          </w:rPr>
          <w:t>Velev and Schmidt-Catran 2024</w:t>
        </w:r>
      </w:hyperlink>
      <w:r>
        <w:t xml:space="preserve">; </w:t>
      </w:r>
      <w:hyperlink w:anchor="ref-finseraas_income_2009">
        <w:proofErr w:type="spellStart"/>
        <w:r>
          <w:rPr>
            <w:rStyle w:val="Hyperlink"/>
          </w:rPr>
          <w:t>Finseraas</w:t>
        </w:r>
        <w:proofErr w:type="spellEnd"/>
        <w:r>
          <w:rPr>
            <w:rStyle w:val="Hyperlink"/>
          </w:rPr>
          <w:t xml:space="preserve"> 2009</w:t>
        </w:r>
      </w:hyperlink>
      <w:r>
        <w:t>). However, despite rising levels of inequality in the past decades, support for redistribution remained apparently stable over time (</w:t>
      </w:r>
      <w:hyperlink w:anchor="ref-lupu_unequal_2023">
        <w:r>
          <w:rPr>
            <w:rStyle w:val="Hyperlink"/>
          </w:rPr>
          <w:t>Lupu and Pontusson 2023</w:t>
        </w:r>
      </w:hyperlink>
      <w:r>
        <w:t>), which could be an explanation for a lack of major political reaction to income inequality following the median-voter rationale (</w:t>
      </w:r>
      <w:hyperlink w:anchor="ref-meltzer_rational_1981">
        <w:r>
          <w:rPr>
            <w:rStyle w:val="Hyperlink"/>
          </w:rPr>
          <w:t>Meltzer and Richard 1981</w:t>
        </w:r>
      </w:hyperlink>
      <w:r>
        <w:t>). Nevertheless, covering a longer period of time, Hillen and Steiner (</w:t>
      </w:r>
      <w:hyperlink w:anchor="ref-hillen_rising_2025">
        <w:r>
          <w:rPr>
            <w:rStyle w:val="Hyperlink"/>
          </w:rPr>
          <w:t>2025</w:t>
        </w:r>
      </w:hyperlink>
      <w:r>
        <w:t>) find evidence that demand for redistribution grows when levels of inequality rise and lack of policy responsiveness might be due to other factors rather than a lack of public demand.</w:t>
      </w:r>
    </w:p>
    <w:p w14:paraId="000B2F4F" w14:textId="77777777" w:rsidR="002B0E5A" w:rsidRDefault="00823BCA">
      <w:pPr>
        <w:pStyle w:val="Heading3"/>
      </w:pPr>
      <w:bookmarkStart w:id="8" w:name="Xf3110010289f3eee84b744ce7139bf7dcae829f"/>
      <w:bookmarkStart w:id="9" w:name="_Toc210752621"/>
      <w:bookmarkEnd w:id="6"/>
      <w:r>
        <w:t>1.1.2 Socio-demographic predictors of welfare attitudes</w:t>
      </w:r>
      <w:bookmarkEnd w:id="9"/>
    </w:p>
    <w:p w14:paraId="000B2F50" w14:textId="21E978EB" w:rsidR="002B0E5A" w:rsidRDefault="00823BCA">
      <w:pPr>
        <w:pStyle w:val="FirstParagraph"/>
      </w:pPr>
      <w:r>
        <w:t>Several socio-demographic characteristics have been found to be associated with welfare attitudes and support for income redistribution. In terms of gender, women are found to be systematically more progressive in relation to policy preferences and support for redistribution (</w:t>
      </w:r>
      <w:proofErr w:type="spellStart"/>
      <w:r>
        <w:fldChar w:fldCharType="begin"/>
      </w:r>
      <w:r>
        <w:instrText>HYPERLINK \l "ref-shorrocks_attitudinal_2020" \h</w:instrText>
      </w:r>
      <w:r>
        <w:fldChar w:fldCharType="separate"/>
      </w:r>
      <w:r>
        <w:rPr>
          <w:rStyle w:val="Hyperlink"/>
        </w:rPr>
        <w:t>Shorrocks</w:t>
      </w:r>
      <w:proofErr w:type="spellEnd"/>
      <w:r>
        <w:rPr>
          <w:rStyle w:val="Hyperlink"/>
        </w:rPr>
        <w:t xml:space="preserve"> and Grasso 2020</w:t>
      </w:r>
      <w:r>
        <w:fldChar w:fldCharType="end"/>
      </w:r>
      <w:r>
        <w:t xml:space="preserve">; </w:t>
      </w:r>
      <w:hyperlink w:anchor="ref-inglehart_cultural_2018">
        <w:r>
          <w:rPr>
            <w:rStyle w:val="Hyperlink"/>
          </w:rPr>
          <w:t>Inglehart 2018</w:t>
        </w:r>
      </w:hyperlink>
      <w:r>
        <w:t xml:space="preserve">; </w:t>
      </w:r>
      <w:hyperlink w:anchor="ref-grasso_are_2025">
        <w:r>
          <w:rPr>
            <w:rStyle w:val="Hyperlink"/>
          </w:rPr>
          <w:t xml:space="preserve">Grasso and </w:t>
        </w:r>
        <w:proofErr w:type="spellStart"/>
        <w:r>
          <w:rPr>
            <w:rStyle w:val="Hyperlink"/>
          </w:rPr>
          <w:t>Shorrocks</w:t>
        </w:r>
        <w:proofErr w:type="spellEnd"/>
        <w:r>
          <w:rPr>
            <w:rStyle w:val="Hyperlink"/>
          </w:rPr>
          <w:t xml:space="preserve"> 2025</w:t>
        </w:r>
      </w:hyperlink>
      <w:r>
        <w:t>). The drivers of this gap are less understood, however, with some explanations pointing out to the role of societal normative and policy frameworks (</w:t>
      </w:r>
      <w:hyperlink w:anchor="ref-goossen_gender_2020">
        <w:r>
          <w:rPr>
            <w:rStyle w:val="Hyperlink"/>
          </w:rPr>
          <w:t>Goossen 2020</w:t>
        </w:r>
      </w:hyperlink>
      <w:r>
        <w:t>), and others highlighting men’s overconfidence in their abilities and consequential disfavour of social protection policies (</w:t>
      </w:r>
      <w:hyperlink w:anchor="ref-buser_overconfidence_2020">
        <w:r>
          <w:rPr>
            <w:rStyle w:val="Hyperlink"/>
          </w:rPr>
          <w:t>Buser et al. 2020</w:t>
        </w:r>
      </w:hyperlink>
      <w:r>
        <w:t>).</w:t>
      </w:r>
    </w:p>
    <w:p w14:paraId="000B2F51" w14:textId="3F9F12B0" w:rsidR="002B0E5A" w:rsidRDefault="00823BCA">
      <w:pPr>
        <w:pStyle w:val="BodyText"/>
      </w:pPr>
      <w:r>
        <w:t xml:space="preserve">Another important factor underlined in the literature is the difference across age groups and generations. Steele, Cohen, and Van Der </w:t>
      </w:r>
      <w:proofErr w:type="spellStart"/>
      <w:r>
        <w:t>Naald</w:t>
      </w:r>
      <w:proofErr w:type="spellEnd"/>
      <w:r>
        <w:t xml:space="preserve"> (</w:t>
      </w:r>
      <w:hyperlink w:anchor="ref-steele_wealth_2022">
        <w:r>
          <w:rPr>
            <w:rStyle w:val="Hyperlink"/>
          </w:rPr>
          <w:t>2022</w:t>
        </w:r>
      </w:hyperlink>
      <w:r>
        <w:t xml:space="preserve">) find statistically significant differences across a sample of 30 countries with older respondents being more favourable of income redistribution. Using age-period-cohort analysis, Grasso and </w:t>
      </w:r>
      <w:proofErr w:type="spellStart"/>
      <w:r>
        <w:t>Shorrocks</w:t>
      </w:r>
      <w:proofErr w:type="spellEnd"/>
      <w:r>
        <w:t xml:space="preserve"> (</w:t>
      </w:r>
      <w:hyperlink w:anchor="ref-grasso_are_2025">
        <w:r>
          <w:rPr>
            <w:rStyle w:val="Hyperlink"/>
          </w:rPr>
          <w:t>2025</w:t>
        </w:r>
      </w:hyperlink>
      <w:r>
        <w:t>) highlights the association between gender and generation, with the cohorts of women born after 1946 being more supportive of redistribution compared to men in their cohorts.</w:t>
      </w:r>
    </w:p>
    <w:p w14:paraId="000B2F52" w14:textId="77777777" w:rsidR="002B0E5A" w:rsidRDefault="00823BCA">
      <w:pPr>
        <w:pStyle w:val="Heading3"/>
      </w:pPr>
      <w:bookmarkStart w:id="10" w:name="Xca2540623398164cbd5130af7745dbb36f7e006"/>
      <w:bookmarkStart w:id="11" w:name="_Toc210752622"/>
      <w:bookmarkEnd w:id="8"/>
      <w:r>
        <w:lastRenderedPageBreak/>
        <w:t>1.1.3 Political attitudes and welfare attitudes</w:t>
      </w:r>
      <w:bookmarkEnd w:id="11"/>
    </w:p>
    <w:p w14:paraId="000B2F53" w14:textId="14D74DC1" w:rsidR="002B0E5A" w:rsidRDefault="00823BCA">
      <w:pPr>
        <w:pStyle w:val="FirstParagraph"/>
      </w:pPr>
      <w:r>
        <w:t>There is robust evidence on the significant association between welfare/redistributive attitudes and a range of ideological dispositions. Overall, almost all studies indicate higher support for welfare policies and redistribution among those who positioned themselves as more left-leaning in the left-right ideological scale (</w:t>
      </w:r>
      <w:hyperlink w:anchor="ref-jaeger_does_2008">
        <w:r>
          <w:rPr>
            <w:rStyle w:val="Hyperlink"/>
          </w:rPr>
          <w:t>Jaeger 2008</w:t>
        </w:r>
      </w:hyperlink>
      <w:r>
        <w:t>). Although country-level characteristics might play a moderation role, Lindqvist (</w:t>
      </w:r>
      <w:hyperlink w:anchor="ref-lindqvist_eastern_2025">
        <w:r>
          <w:rPr>
            <w:rStyle w:val="Hyperlink"/>
          </w:rPr>
          <w:t>2025</w:t>
        </w:r>
      </w:hyperlink>
      <w:r>
        <w:t>) finds that this relationship is generalised across most European countries.</w:t>
      </w:r>
    </w:p>
    <w:p w14:paraId="000B2F54" w14:textId="77777777" w:rsidR="002B0E5A" w:rsidRDefault="00823BCA">
      <w:pPr>
        <w:pStyle w:val="Heading3"/>
      </w:pPr>
      <w:bookmarkStart w:id="12" w:name="welfare-for-whom"/>
      <w:bookmarkStart w:id="13" w:name="_Toc210752623"/>
      <w:bookmarkEnd w:id="10"/>
      <w:r>
        <w:t>1.1.4 Welfare for whom?</w:t>
      </w:r>
      <w:bookmarkEnd w:id="13"/>
    </w:p>
    <w:p w14:paraId="000B2F55" w14:textId="69C975A6" w:rsidR="002B0E5A" w:rsidRDefault="00823BCA">
      <w:pPr>
        <w:pStyle w:val="FirstParagraph"/>
      </w:pPr>
      <w:r>
        <w:t>A central concern in the literature on the support for the welfare state is the extent to which the public have a hierarchy of groups that are seen as more or less deserving of support. In an overview of this research, Oorschot and Roosma (</w:t>
      </w:r>
      <w:hyperlink w:anchor="ref-van_oorschot_social_2017">
        <w:r>
          <w:rPr>
            <w:rStyle w:val="Hyperlink"/>
          </w:rPr>
          <w:t>2017</w:t>
        </w:r>
      </w:hyperlink>
      <w:r>
        <w:t>) note that support for welfare policies, social transfers and redistribution is conditional on the social legitimacy of these policies’ target groups.</w:t>
      </w:r>
    </w:p>
    <w:p w14:paraId="000B2F56" w14:textId="283E3D1D" w:rsidR="002B0E5A" w:rsidRDefault="00823BCA">
      <w:pPr>
        <w:pStyle w:val="BodyText"/>
      </w:pPr>
      <w:r>
        <w:t>Support for redistribution policies and anti-poverty strategies is also related to individuals understanding of the causes of poverty or wealth. Those that attribute poverty or wealth to individual behaviour or disposition are less likely to support redistribution policies, while those that attribute them to external, structural forces are more likely to support redistribution (</w:t>
      </w:r>
      <w:hyperlink w:anchor="ref-bullock_predicting_2003">
        <w:r>
          <w:rPr>
            <w:rStyle w:val="Hyperlink"/>
          </w:rPr>
          <w:t>Bullock, Williams, and Limbert 2003</w:t>
        </w:r>
      </w:hyperlink>
      <w:r>
        <w:t>).</w:t>
      </w:r>
    </w:p>
    <w:p w14:paraId="000B2F57" w14:textId="77777777" w:rsidR="002B0E5A" w:rsidRDefault="00823BCA">
      <w:pPr>
        <w:pStyle w:val="Heading3"/>
      </w:pPr>
      <w:bookmarkStart w:id="14" w:name="X75bdfddbc53a955179c6c6fbfdf4e1459ffbdb8"/>
      <w:bookmarkStart w:id="15" w:name="_Toc210752624"/>
      <w:bookmarkEnd w:id="12"/>
      <w:r>
        <w:t>1.1.5 Experimental studies of welfare attitudes</w:t>
      </w:r>
      <w:bookmarkEnd w:id="15"/>
    </w:p>
    <w:p w14:paraId="000B2F58" w14:textId="3FD3938E" w:rsidR="002B0E5A" w:rsidRDefault="00823BCA">
      <w:pPr>
        <w:pStyle w:val="FirstParagraph"/>
      </w:pPr>
      <w:r>
        <w:t xml:space="preserve">Numerous experimental studies have examined how conceptions of fairness or the willingness to regard the interests of others informs decisions, and </w:t>
      </w:r>
      <w:proofErr w:type="spellStart"/>
      <w:r>
        <w:t>behavior</w:t>
      </w:r>
      <w:proofErr w:type="spellEnd"/>
      <w:r>
        <w:t xml:space="preserve"> is not just driven solely by self-interest as suggested by earlier models (</w:t>
      </w:r>
      <w:hyperlink w:anchor="ref-meltzer_rational_1981">
        <w:r>
          <w:rPr>
            <w:rStyle w:val="Hyperlink"/>
          </w:rPr>
          <w:t>Meltzer and Richard 1981</w:t>
        </w:r>
      </w:hyperlink>
      <w:r>
        <w:t>). These experiments routinely find that individuals care about fairness. In a meta-analysis of such experiments administered in the past two decades, Nunnari and Pozzi (</w:t>
      </w:r>
      <w:hyperlink w:anchor="ref-nunnari_meta-analysis_2022">
        <w:r>
          <w:rPr>
            <w:rStyle w:val="Hyperlink"/>
          </w:rPr>
          <w:t>2022</w:t>
        </w:r>
      </w:hyperlink>
      <w:r>
        <w:t>) identify an overall aversion to inequality, despite high levels of heterogeneity across studies an participants.</w:t>
      </w:r>
    </w:p>
    <w:p w14:paraId="000B2F59" w14:textId="2A9BB48E" w:rsidR="002B0E5A" w:rsidRDefault="00823BCA">
      <w:pPr>
        <w:pStyle w:val="BodyText"/>
      </w:pPr>
      <w:r>
        <w:t>Based also on another meta-analysis, (</w:t>
      </w:r>
      <w:hyperlink w:anchor="ref-ciani_learning_2021">
        <w:r>
          <w:rPr>
            <w:rStyle w:val="Hyperlink"/>
            <w:b/>
            <w:bCs/>
          </w:rPr>
          <w:t>ciani_learning_2021?</w:t>
        </w:r>
      </w:hyperlink>
      <w:r>
        <w:t>) show that providing information about the level of inequality in surveys affects concerns about inequality but has a ‘small effect’ on demand for redistribution. Finally, Chow and Galak (</w:t>
      </w:r>
      <w:hyperlink w:anchor="ref-chow_effect_2012">
        <w:r>
          <w:rPr>
            <w:rStyle w:val="Hyperlink"/>
          </w:rPr>
          <w:t>2012</w:t>
        </w:r>
      </w:hyperlink>
      <w:r>
        <w:t>) indicate that the way in which inequality is framed (the rich making more than the poor or the poor making less than the rich) influences the negative relationship between conservatism and support for redistribution.</w:t>
      </w:r>
    </w:p>
    <w:p w14:paraId="000B2F5A" w14:textId="77777777" w:rsidR="002B0E5A" w:rsidRDefault="00823BCA">
      <w:pPr>
        <w:pStyle w:val="Heading2"/>
      </w:pPr>
      <w:bookmarkStart w:id="16" w:name="methods-and-data"/>
      <w:bookmarkStart w:id="17" w:name="_Toc210752625"/>
      <w:bookmarkEnd w:id="14"/>
      <w:bookmarkEnd w:id="4"/>
      <w:r>
        <w:lastRenderedPageBreak/>
        <w:t>1.2 Methods and data</w:t>
      </w:r>
      <w:bookmarkEnd w:id="17"/>
    </w:p>
    <w:p w14:paraId="000B2F5B" w14:textId="14E687FC" w:rsidR="002B0E5A" w:rsidRDefault="00823BCA">
      <w:pPr>
        <w:pStyle w:val="FirstParagraph"/>
      </w:pPr>
      <w:r>
        <w:t>Social researchers make use of a varied set of methods to assess welfare attitudes. However, the main quantitative method in this field is social survey (</w:t>
      </w:r>
      <w:hyperlink w:anchor="ref-steele_attitudes_2019">
        <w:r>
          <w:rPr>
            <w:rStyle w:val="Hyperlink"/>
          </w:rPr>
          <w:t xml:space="preserve">Steele and </w:t>
        </w:r>
        <w:proofErr w:type="spellStart"/>
        <w:r>
          <w:rPr>
            <w:rStyle w:val="Hyperlink"/>
          </w:rPr>
          <w:t>Breznau</w:t>
        </w:r>
        <w:proofErr w:type="spellEnd"/>
        <w:r>
          <w:rPr>
            <w:rStyle w:val="Hyperlink"/>
          </w:rPr>
          <w:t xml:space="preserve"> 2019</w:t>
        </w:r>
      </w:hyperlink>
      <w:r>
        <w:t xml:space="preserve">; </w:t>
      </w:r>
      <w:hyperlink w:anchor="ref-svallfors_contested_2012">
        <w:proofErr w:type="spellStart"/>
        <w:r>
          <w:rPr>
            <w:rStyle w:val="Hyperlink"/>
          </w:rPr>
          <w:t>Svallfors</w:t>
        </w:r>
        <w:proofErr w:type="spellEnd"/>
        <w:r>
          <w:rPr>
            <w:rStyle w:val="Hyperlink"/>
          </w:rPr>
          <w:t xml:space="preserve"> 2012</w:t>
        </w:r>
      </w:hyperlink>
      <w:r>
        <w:t>). Despite their limited capacity to capture nuance and ambivalence in welfare attitudes (</w:t>
      </w:r>
      <w:proofErr w:type="spellStart"/>
      <w:r>
        <w:fldChar w:fldCharType="begin"/>
      </w:r>
      <w:r>
        <w:instrText>HYPERLINK \l "ref-goerres_can_2012" \h</w:instrText>
      </w:r>
      <w:r>
        <w:fldChar w:fldCharType="separate"/>
      </w:r>
      <w:r>
        <w:rPr>
          <w:rStyle w:val="Hyperlink"/>
        </w:rPr>
        <w:t>Goerres</w:t>
      </w:r>
      <w:proofErr w:type="spellEnd"/>
      <w:r>
        <w:rPr>
          <w:rStyle w:val="Hyperlink"/>
        </w:rPr>
        <w:t xml:space="preserve"> and </w:t>
      </w:r>
      <w:proofErr w:type="spellStart"/>
      <w:r>
        <w:rPr>
          <w:rStyle w:val="Hyperlink"/>
        </w:rPr>
        <w:t>Prinzen</w:t>
      </w:r>
      <w:proofErr w:type="spellEnd"/>
      <w:r>
        <w:rPr>
          <w:rStyle w:val="Hyperlink"/>
        </w:rPr>
        <w:t xml:space="preserve"> 2012</w:t>
      </w:r>
      <w:r>
        <w:fldChar w:fldCharType="end"/>
      </w:r>
      <w:r>
        <w:t>), surveys help researchers to identify trends and patterns within and across different societies.</w:t>
      </w:r>
    </w:p>
    <w:p w14:paraId="000B2F5C" w14:textId="77777777" w:rsidR="002B0E5A" w:rsidRDefault="00823BCA">
      <w:pPr>
        <w:pStyle w:val="BodyText"/>
      </w:pPr>
      <w:r>
        <w:t>In this sense, the main data source selected for this project is the European Social Survey (ESS)</w:t>
      </w:r>
      <w:r>
        <w:footnoteReference w:id="1"/>
      </w:r>
      <w:r>
        <w:t>. More than 20 European countries participate in this cross-sectional survey that is conducted roughly every two years. Ireland is one of the few countries that participated in all 11 rounds since 2002. On average, 2,200 people in private households who were 18 or older and resident in Ireland were interviewed in each of these rounds.</w:t>
      </w:r>
    </w:p>
    <w:p w14:paraId="000B2F5D" w14:textId="39FBFB23" w:rsidR="002B0E5A" w:rsidRDefault="00823BCA">
      <w:pPr>
        <w:pStyle w:val="BodyText"/>
      </w:pPr>
      <w:r>
        <w:t>This research analysed several questions from a special module on welfare attitudes that was fielded in 2009 and 2016. However, most of the analysis is based on a core question, included in all rounds, on the role of the government in reducing income inequalities. This question is used as an indicator of generalised support for the welfare state. Beyond that, the ESS questionnaire contains several other questions relevant to this research related to socio-demographic characteristics. In addition, based on t</w:t>
      </w:r>
      <w:r>
        <w:t>he class scheme developed by Oesch (</w:t>
      </w:r>
      <w:hyperlink w:anchor="ref-oesch_coming_2006">
        <w:r>
          <w:rPr>
            <w:rStyle w:val="Hyperlink"/>
          </w:rPr>
          <w:t>2006</w:t>
        </w:r>
      </w:hyperlink>
      <w:r>
        <w:t>), a “social class” variable was constructed using questions about the respondent’s occupation (following Tawfik and Oesch (</w:t>
      </w:r>
      <w:hyperlink w:anchor="ref-tawfik_script_2020">
        <w:r>
          <w:rPr>
            <w:rStyle w:val="Hyperlink"/>
          </w:rPr>
          <w:t>2020</w:t>
        </w:r>
      </w:hyperlink>
      <w:r>
        <w:t>) script).</w:t>
      </w:r>
    </w:p>
    <w:p w14:paraId="000B2F5E" w14:textId="77777777" w:rsidR="002B0E5A" w:rsidRDefault="00823BCA">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w:t>
      </w:r>
      <w:proofErr w:type="spellStart"/>
      <w:r>
        <w:t>Euromanifestos</w:t>
      </w:r>
      <w:proofErr w:type="spellEnd"/>
      <w:r>
        <w:t xml:space="preserve"> project that codes Party Manifestos. Despite being part of the Eurobarometer project before 1994, three EES surveys have been conducted independently since 1999. The survey offers additional information particularly on electoral behaviours and political attitudes.</w:t>
      </w:r>
    </w:p>
    <w:p w14:paraId="000B2F5F" w14:textId="77777777" w:rsidR="002B0E5A" w:rsidRDefault="00823BCA">
      <w:pPr>
        <w:pStyle w:val="Heading1"/>
      </w:pPr>
      <w:bookmarkStart w:id="18" w:name="sec-who"/>
      <w:bookmarkStart w:id="19" w:name="_Toc210752626"/>
      <w:bookmarkEnd w:id="16"/>
      <w:bookmarkEnd w:id="2"/>
      <w:r>
        <w:t>2. Who supports redistribution?</w:t>
      </w:r>
      <w:bookmarkEnd w:id="19"/>
    </w:p>
    <w:p w14:paraId="000B2F60" w14:textId="77777777" w:rsidR="002B0E5A" w:rsidRDefault="00823BCA">
      <w:pPr>
        <w:pStyle w:val="FirstParagraph"/>
      </w:pPr>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 “Using this card, please say to what extent you agree or disagree with each of the following statements. </w:t>
      </w:r>
      <w:r>
        <w:rPr>
          <w:i/>
          <w:iCs/>
        </w:rPr>
        <w:t xml:space="preserve">The government </w:t>
      </w:r>
      <w:r>
        <w:rPr>
          <w:i/>
          <w:iCs/>
        </w:rPr>
        <w:lastRenderedPageBreak/>
        <w:t>should take measures to reduce differences in income levels</w:t>
      </w:r>
      <w:r>
        <w:t>”. The answer alternatives presented were “Agree strongly”, “Agree”, “Neither agree nor disagree”, “Disagree”, and “Disagree strongly”.</w:t>
      </w:r>
    </w:p>
    <w:p w14:paraId="000B2F61" w14:textId="6B8D8840" w:rsidR="002B0E5A" w:rsidRDefault="00823BCA">
      <w:pPr>
        <w:pStyle w:val="BodyText"/>
      </w:pPr>
      <w:r>
        <w:t>This question has been widely used across comparative studies on welfare attitudes and redistributive preferences (</w:t>
      </w:r>
      <w:proofErr w:type="spellStart"/>
      <w:r>
        <w:fldChar w:fldCharType="begin"/>
      </w:r>
      <w:r>
        <w:instrText>HYPERLINK \l "ref-finseraas_income_2009" \h</w:instrText>
      </w:r>
      <w:r>
        <w:fldChar w:fldCharType="separate"/>
      </w:r>
      <w:r>
        <w:rPr>
          <w:rStyle w:val="Hyperlink"/>
        </w:rPr>
        <w:t>Finseraas</w:t>
      </w:r>
      <w:proofErr w:type="spellEnd"/>
      <w:r>
        <w:rPr>
          <w:rStyle w:val="Hyperlink"/>
        </w:rPr>
        <w:t xml:space="preserve"> 2009</w:t>
      </w:r>
      <w:r>
        <w:fldChar w:fldCharType="end"/>
      </w:r>
      <w:r>
        <w:t xml:space="preserve">; </w:t>
      </w:r>
      <w:hyperlink w:anchor="ref-jaeger_does_2008">
        <w:r>
          <w:rPr>
            <w:rStyle w:val="Hyperlink"/>
          </w:rPr>
          <w:t>Jaeger 2008</w:t>
        </w:r>
      </w:hyperlink>
      <w:r>
        <w:t xml:space="preserve">; </w:t>
      </w:r>
      <w:hyperlink w:anchor="ref-lindqvist_eastern_2025">
        <w:r>
          <w:rPr>
            <w:rStyle w:val="Hyperlink"/>
          </w:rPr>
          <w:t>Lindqvist 2025</w:t>
        </w:r>
      </w:hyperlink>
      <w:r>
        <w:t>). However, recent studies have raised concerns in relation to the reliability of this question as a measurement of support for redistribution. Margalit and Raviv (</w:t>
      </w:r>
      <w:hyperlink w:anchor="ref-margalit_does_2024">
        <w:r>
          <w:rPr>
            <w:rStyle w:val="Hyperlink"/>
          </w:rPr>
          <w:t>2024</w:t>
        </w:r>
      </w:hyperlink>
      <w:r>
        <w:t>) 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 (</w:t>
      </w:r>
      <w:proofErr w:type="spellStart"/>
      <w:r>
        <w:fldChar w:fldCharType="begin"/>
      </w:r>
      <w:r>
        <w:instrText>HYPERLINK \l "ref-dallinger_ambivalence_2022" \h</w:instrText>
      </w:r>
      <w:r>
        <w:fldChar w:fldCharType="separate"/>
      </w:r>
      <w:r>
        <w:rPr>
          <w:rStyle w:val="Hyperlink"/>
        </w:rPr>
        <w:t>Dallinger</w:t>
      </w:r>
      <w:proofErr w:type="spellEnd"/>
      <w:r>
        <w:rPr>
          <w:rStyle w:val="Hyperlink"/>
        </w:rPr>
        <w:t xml:space="preserve"> 2022</w:t>
      </w:r>
      <w:r>
        <w:fldChar w:fldCharType="end"/>
      </w:r>
      <w:r>
        <w:t xml:space="preserve">). Nevertheless, </w:t>
      </w:r>
      <w:proofErr w:type="spellStart"/>
      <w:r>
        <w:t>Breznau</w:t>
      </w:r>
      <w:proofErr w:type="spellEnd"/>
      <w:r>
        <w:t xml:space="preserve"> et al. (</w:t>
      </w:r>
      <w:hyperlink w:anchor="ref-breznau_moderating_2025">
        <w:r>
          <w:rPr>
            <w:rStyle w:val="Hyperlink"/>
          </w:rPr>
          <w:t>2025</w:t>
        </w:r>
      </w:hyperlink>
      <w:r>
        <w:t xml:space="preserve">) 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 </w:t>
      </w:r>
      <w:hyperlink w:anchor="sec-what">
        <w:r>
          <w:rPr>
            <w:rStyle w:val="Hyperlink"/>
          </w:rPr>
          <w:t>Chapter 3</w:t>
        </w:r>
      </w:hyperlink>
      <w:r>
        <w:t>.</w:t>
      </w:r>
    </w:p>
    <w:p w14:paraId="000B2F62" w14:textId="77777777" w:rsidR="002B0E5A" w:rsidRDefault="00823BCA">
      <w:pPr>
        <w:pStyle w:val="BodyText"/>
      </w:pPr>
      <w:proofErr w:type="gramStart"/>
      <w:r>
        <w:t>Similar to</w:t>
      </w:r>
      <w:proofErr w:type="gramEnd"/>
      <w:r>
        <w:t xml:space="preserve"> the main ESS question, the VS questionnaires also ask whether voters are in favour of wealth redistribution from the rich to the poor using a scale from 0 (‘fully oppose’) to 10 (‘fully favour’). The original scale of this variable was inverted for this analysis. So, in the results presented here, higher values indicate more in favour of redistribution.</w:t>
      </w:r>
    </w:p>
    <w:p w14:paraId="000B2F63" w14:textId="77777777" w:rsidR="002B0E5A" w:rsidRDefault="00823BCA">
      <w:pPr>
        <w:pStyle w:val="Heading2"/>
      </w:pPr>
      <w:bookmarkStart w:id="20" w:name="Xddb084efc4daca8cd5bc37222eeb1ff8107da53"/>
      <w:bookmarkStart w:id="21" w:name="_Toc210752627"/>
      <w:r>
        <w:t>2.1 Higher support in Ireland compared to other northern European countries</w:t>
      </w:r>
      <w:bookmarkEnd w:id="21"/>
    </w:p>
    <w:p w14:paraId="000B2F64" w14:textId="35C3754D" w:rsidR="002B0E5A" w:rsidRDefault="00823BCA">
      <w:pPr>
        <w:pStyle w:val="FirstParagraph"/>
      </w:pPr>
      <w:r>
        <w:t xml:space="preserve">The overall levels of support for income redistribution in 2023 shown in </w:t>
      </w:r>
      <w:hyperlink w:anchor="fig-eumap">
        <w:r>
          <w:rPr>
            <w:rStyle w:val="Hyperlink"/>
          </w:rPr>
          <w:t>Figure 2.1</w:t>
        </w:r>
      </w:hyperlink>
      <w:r>
        <w:t xml:space="preserve"> is in line with the south/north geographical divide identified before (</w:t>
      </w:r>
      <w:hyperlink w:anchor="ref-meuleman_past_2018">
        <w:r>
          <w:rPr>
            <w:rStyle w:val="Hyperlink"/>
          </w:rPr>
          <w:t>Meuleman et al. 2018</w:t>
        </w:r>
      </w:hyperlink>
      <w:r>
        <w:t xml:space="preserve">), with </w:t>
      </w:r>
      <w:proofErr w:type="spellStart"/>
      <w:r>
        <w:t>Finseraas</w:t>
      </w:r>
      <w:proofErr w:type="spellEnd"/>
      <w:r>
        <w:t xml:space="preserve"> (</w:t>
      </w:r>
      <w:hyperlink w:anchor="ref-finseraas_income_2009">
        <w:r>
          <w:rPr>
            <w:rStyle w:val="Hyperlink"/>
          </w:rPr>
          <w:t>2009</w:t>
        </w:r>
      </w:hyperlink>
      <w:r>
        <w:t>) suggesting that countries with higher income inequality tend to be more supportive of income redistribution. About 76% of respondents in Ireland indicated that they either ‘agree’ (45%) or ‘agree strongly’ (31%) that the government should reduce income differences. This percentage is higher than the European average (71%), and the one observed in other northern European countries such as the UK (70%), Iceland (68%), Norway (68%), Sweden (66%), and Finland (62%).</w:t>
      </w:r>
    </w:p>
    <w:tbl>
      <w:tblPr>
        <w:tblW w:w="5000" w:type="pct"/>
        <w:tblLayout w:type="fixed"/>
        <w:tblLook w:val="0000" w:firstRow="0" w:lastRow="0" w:firstColumn="0" w:lastColumn="0" w:noHBand="0" w:noVBand="0"/>
      </w:tblPr>
      <w:tblGrid>
        <w:gridCol w:w="9026"/>
      </w:tblGrid>
      <w:tr w:rsidR="002B0E5A" w14:paraId="000B2F67" w14:textId="77777777">
        <w:tc>
          <w:tcPr>
            <w:tcW w:w="7920" w:type="dxa"/>
          </w:tcPr>
          <w:p w14:paraId="000B2F65" w14:textId="77777777" w:rsidR="002B0E5A" w:rsidRPr="00823BCA" w:rsidRDefault="00823BCA">
            <w:pPr>
              <w:pStyle w:val="ImageCaption"/>
              <w:spacing w:before="200"/>
              <w:jc w:val="left"/>
            </w:pPr>
            <w:bookmarkStart w:id="22" w:name="fig-eumap"/>
            <w:r w:rsidRPr="00823BCA">
              <w:lastRenderedPageBreak/>
              <w:t>Figure 2.1: Proportion who agree that the ‘Government should reduce income differences’, Europe, 2023</w:t>
            </w:r>
          </w:p>
          <w:p w14:paraId="000B2F66" w14:textId="77777777" w:rsidR="002B0E5A" w:rsidRDefault="00823BCA">
            <w:pPr>
              <w:jc w:val="center"/>
            </w:pPr>
            <w:r>
              <w:rPr>
                <w:noProof/>
              </w:rPr>
              <w:drawing>
                <wp:inline distT="0" distB="0" distL="0" distR="0" wp14:anchorId="000B303B" wp14:editId="000B303C">
                  <wp:extent cx="4586332" cy="366906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g/fig_eumap.png"/>
                          <pic:cNvPicPr>
                            <a:picLocks noChangeAspect="1" noChangeArrowheads="1"/>
                          </pic:cNvPicPr>
                        </pic:nvPicPr>
                        <pic:blipFill>
                          <a:blip r:embed="rId7"/>
                          <a:stretch>
                            <a:fillRect/>
                          </a:stretch>
                        </pic:blipFill>
                        <pic:spPr bwMode="auto">
                          <a:xfrm>
                            <a:off x="0" y="0"/>
                            <a:ext cx="4586332" cy="3669065"/>
                          </a:xfrm>
                          <a:prstGeom prst="rect">
                            <a:avLst/>
                          </a:prstGeom>
                          <a:noFill/>
                          <a:ln w="9525">
                            <a:noFill/>
                            <a:headEnd/>
                            <a:tailEnd/>
                          </a:ln>
                        </pic:spPr>
                      </pic:pic>
                    </a:graphicData>
                  </a:graphic>
                </wp:inline>
              </w:drawing>
            </w:r>
          </w:p>
        </w:tc>
        <w:bookmarkEnd w:id="22"/>
      </w:tr>
    </w:tbl>
    <w:p w14:paraId="000B2F68" w14:textId="77777777" w:rsidR="002B0E5A" w:rsidRDefault="00823BCA">
      <w:pPr>
        <w:pStyle w:val="RSSourceandnotes"/>
      </w:pPr>
      <w:r>
        <w:t xml:space="preserve">Source: Authors’ </w:t>
      </w:r>
      <w:proofErr w:type="gramStart"/>
      <w:r>
        <w:t>own</w:t>
      </w:r>
      <w:proofErr w:type="gramEnd"/>
      <w:r>
        <w:t xml:space="preserve"> analysis of the European Social Survey Round 11</w:t>
      </w:r>
    </w:p>
    <w:p w14:paraId="000B2F69" w14:textId="77777777" w:rsidR="002B0E5A" w:rsidRDefault="00823BCA">
      <w:pPr>
        <w:pStyle w:val="Heading2"/>
      </w:pPr>
      <w:bookmarkStart w:id="23" w:name="X8995c354d27d920b53645b6e158163c82600a9e"/>
      <w:bookmarkStart w:id="24" w:name="_Toc210752628"/>
      <w:bookmarkEnd w:id="20"/>
      <w:r>
        <w:t xml:space="preserve">2.2 A third of the Irish population would </w:t>
      </w:r>
      <w:proofErr w:type="spellStart"/>
      <w:r>
        <w:t>would</w:t>
      </w:r>
      <w:proofErr w:type="spellEnd"/>
      <w:r>
        <w:t xml:space="preserve"> agree with higher taxes if it means more or better public services</w:t>
      </w:r>
      <w:bookmarkEnd w:id="24"/>
    </w:p>
    <w:p w14:paraId="000B2F6A" w14:textId="612A2A61" w:rsidR="002B0E5A" w:rsidRDefault="00823BCA">
      <w:pPr>
        <w:pStyle w:val="FirstParagraph"/>
      </w:pPr>
      <w:r>
        <w:t xml:space="preserve">In terms of policy relevance and social change, it is important to assess how much support for redistribution coincides with willingness to act on that through paying more taxes, for instance. Using data from survey experiments in Germany, Italy, Spain, and the United Kingdom, Bremer and </w:t>
      </w:r>
      <w:proofErr w:type="spellStart"/>
      <w:r>
        <w:t>Bürgisser</w:t>
      </w:r>
      <w:proofErr w:type="spellEnd"/>
      <w:r>
        <w:t xml:space="preserve"> (</w:t>
      </w:r>
      <w:hyperlink w:anchor="ref-bremer_lower_2025">
        <w:r>
          <w:rPr>
            <w:rStyle w:val="Hyperlink"/>
          </w:rPr>
          <w:t>2025</w:t>
        </w:r>
      </w:hyperlink>
      <w:r>
        <w:t>) show that support for tax cuts is not unconditional as many would expect. The study indicates that ideology and self-interest play a role in preferences for progressive reforms as well.</w:t>
      </w:r>
    </w:p>
    <w:p w14:paraId="000B2F6B" w14:textId="4783CE69" w:rsidR="002B0E5A" w:rsidRDefault="00823BCA">
      <w:pPr>
        <w:pStyle w:val="BodyText"/>
      </w:pPr>
      <w:r>
        <w:t>As part of the National Election and Democracy Study, (</w:t>
      </w:r>
      <w:hyperlink w:anchor="ref-an_coimisiun_toghchain_irelands_2024">
        <w:r>
          <w:rPr>
            <w:rStyle w:val="Hyperlink"/>
            <w:b/>
            <w:bCs/>
          </w:rPr>
          <w:t>an_coimisiun_toghchain_irelands_2024?</w:t>
        </w:r>
      </w:hyperlink>
      <w:r>
        <w:t>) conducted a post-election survey between 2024 and 2015 including questions on attitudes and policy preferences. Respondents were asked to what extend they agree that “</w:t>
      </w:r>
      <w:r>
        <w:rPr>
          <w:i/>
          <w:iCs/>
        </w:rPr>
        <w:t>The government should increase taxes a lot and spend much more on health and social services</w:t>
      </w:r>
      <w:r>
        <w:t>”. About 32% of respondents agreed with this statement (8% ‘strongly agree’ and 24% ‘somewhat agree’).</w:t>
      </w:r>
    </w:p>
    <w:p w14:paraId="000B2F6C" w14:textId="77777777" w:rsidR="002B0E5A" w:rsidRDefault="00823BCA">
      <w:pPr>
        <w:pStyle w:val="BodyText"/>
      </w:pPr>
      <w:r>
        <w:t xml:space="preserve">To explore relative differences across groups, we ran a logistic regression model using agreement with tax increase as a response variable. The explanatory variables included gender, age group, educational attainment, and social class. In </w:t>
      </w:r>
      <w:r>
        <w:lastRenderedPageBreak/>
        <w:t>addition, the model also includes a question on acceptance of inequality (agreement that “</w:t>
      </w:r>
      <w:r>
        <w:rPr>
          <w:i/>
          <w:iCs/>
        </w:rPr>
        <w:t>There is nothing wrong with some people being a lot richer than others</w:t>
      </w:r>
      <w:r>
        <w:t>”). As expected, those who ‘strongly disagree’ or ‘somewhat disagree’ have, respectively, 26% and 22% lower odds of supporting tax increase compared to those who strongly agree with the inequality statement.</w:t>
      </w:r>
    </w:p>
    <w:p w14:paraId="000B2F6D" w14:textId="77777777" w:rsidR="002B0E5A" w:rsidRDefault="00823BCA">
      <w:pPr>
        <w:pStyle w:val="BodyText"/>
      </w:pPr>
      <w:r>
        <w:t xml:space="preserve">The results also indicate that women have 6% higher odds of agreeing with tax increase compared to men. In relation to age, those older than 65 (16%) and aged between 55 and 64 (11%) also have increased odds of supporting tax increase in comparison with those younger than 24. No significant differences were found across other age groups, social class, or </w:t>
      </w:r>
      <w:proofErr w:type="spellStart"/>
      <w:r>
        <w:t>educatinal</w:t>
      </w:r>
      <w:proofErr w:type="spellEnd"/>
      <w:r>
        <w:t xml:space="preserve"> attainment.</w:t>
      </w:r>
    </w:p>
    <w:p w14:paraId="000B2F6E" w14:textId="77777777" w:rsidR="002B0E5A" w:rsidRDefault="00823BCA">
      <w:pPr>
        <w:pStyle w:val="BodyText"/>
      </w:pPr>
      <w:r>
        <w:t>In 2025, the Eurobarometer conducted a survey on citizen’s attitudes towards taxation. Participants were asked which among the following statements they agreed the most:</w:t>
      </w:r>
    </w:p>
    <w:p w14:paraId="000B2F6F" w14:textId="77777777" w:rsidR="002B0E5A" w:rsidRDefault="00823BCA" w:rsidP="00823BCA">
      <w:pPr>
        <w:numPr>
          <w:ilvl w:val="0"/>
          <w:numId w:val="11"/>
        </w:numPr>
        <w:ind w:left="1134" w:hanging="283"/>
      </w:pPr>
      <w:r>
        <w:rPr>
          <w:i/>
          <w:iCs/>
        </w:rPr>
        <w:t>Taxes are too high, and I would decrease them even if it means fewer or lower quality public services</w:t>
      </w:r>
      <w:r>
        <w:br/>
      </w:r>
    </w:p>
    <w:p w14:paraId="000B2F70" w14:textId="77777777" w:rsidR="002B0E5A" w:rsidRDefault="00823BCA" w:rsidP="00823BCA">
      <w:pPr>
        <w:numPr>
          <w:ilvl w:val="0"/>
          <w:numId w:val="11"/>
        </w:numPr>
        <w:ind w:left="1134" w:hanging="283"/>
      </w:pPr>
      <w:r>
        <w:rPr>
          <w:i/>
          <w:iCs/>
        </w:rPr>
        <w:t>I agree with higher taxes if it means more or better public services</w:t>
      </w:r>
      <w:r>
        <w:br/>
      </w:r>
    </w:p>
    <w:p w14:paraId="000B2F71" w14:textId="77777777" w:rsidR="002B0E5A" w:rsidRDefault="00823BCA" w:rsidP="00823BCA">
      <w:pPr>
        <w:numPr>
          <w:ilvl w:val="0"/>
          <w:numId w:val="11"/>
        </w:numPr>
        <w:ind w:left="1134" w:hanging="283"/>
      </w:pPr>
      <w:r>
        <w:rPr>
          <w:i/>
          <w:iCs/>
        </w:rPr>
        <w:t>Both taxes and public services should stay at the same level</w:t>
      </w:r>
    </w:p>
    <w:p w14:paraId="000B2F72" w14:textId="58EF639B" w:rsidR="002B0E5A" w:rsidRDefault="00823BCA">
      <w:pPr>
        <w:pStyle w:val="FirstParagraph"/>
      </w:pPr>
      <w:r>
        <w:t xml:space="preserve">In Ireland, 34% of respondents indicated that they would agree with higher taxes if it </w:t>
      </w:r>
      <w:proofErr w:type="gramStart"/>
      <w:r>
        <w:t>means</w:t>
      </w:r>
      <w:proofErr w:type="gramEnd"/>
      <w:r>
        <w:t xml:space="preserve"> more or better public services. This is the 6th highest percentage across the 27 participant countries. This proportion varies from 16% in Luxembourg and Belgium to 42% in Sweden and Spain. Comparing countries at the national level in </w:t>
      </w:r>
      <w:hyperlink w:anchor="fig-tax">
        <w:r>
          <w:rPr>
            <w:rStyle w:val="Hyperlink"/>
          </w:rPr>
          <w:t>Figure 2.2</w:t>
        </w:r>
      </w:hyperlink>
      <w:r>
        <w:t>, there is no clear relationship between this proportion and the overall support for redistribution measured by the ESS in 2023.</w:t>
      </w:r>
    </w:p>
    <w:tbl>
      <w:tblPr>
        <w:tblW w:w="5000" w:type="pct"/>
        <w:tblLayout w:type="fixed"/>
        <w:tblLook w:val="0000" w:firstRow="0" w:lastRow="0" w:firstColumn="0" w:lastColumn="0" w:noHBand="0" w:noVBand="0"/>
      </w:tblPr>
      <w:tblGrid>
        <w:gridCol w:w="9026"/>
      </w:tblGrid>
      <w:tr w:rsidR="002B0E5A" w14:paraId="000B2F75" w14:textId="77777777">
        <w:tc>
          <w:tcPr>
            <w:tcW w:w="7920" w:type="dxa"/>
          </w:tcPr>
          <w:p w14:paraId="000B2F73" w14:textId="77777777" w:rsidR="002B0E5A" w:rsidRDefault="00823BCA">
            <w:pPr>
              <w:pStyle w:val="ImageCaption"/>
              <w:spacing w:before="200"/>
              <w:jc w:val="left"/>
            </w:pPr>
            <w:bookmarkStart w:id="25" w:name="fig-tax"/>
            <w:r>
              <w:lastRenderedPageBreak/>
              <w:t>Figure 2.2: Relationship between support for redistribution and agreement that there could be ‘higher taxes if it means more or better public services’, Europe, 2023/2025</w:t>
            </w:r>
          </w:p>
          <w:p w14:paraId="000B2F74" w14:textId="77777777" w:rsidR="002B0E5A" w:rsidRDefault="00823BCA">
            <w:pPr>
              <w:jc w:val="center"/>
            </w:pPr>
            <w:r>
              <w:rPr>
                <w:noProof/>
              </w:rPr>
              <w:drawing>
                <wp:inline distT="0" distB="0" distL="0" distR="0" wp14:anchorId="000B303D" wp14:editId="000B303E">
                  <wp:extent cx="5503598" cy="4586332"/>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mg/fig_taxes.png"/>
                          <pic:cNvPicPr>
                            <a:picLocks noChangeAspect="1" noChangeArrowheads="1"/>
                          </pic:cNvPicPr>
                        </pic:nvPicPr>
                        <pic:blipFill>
                          <a:blip r:embed="rId8"/>
                          <a:stretch>
                            <a:fillRect/>
                          </a:stretch>
                        </pic:blipFill>
                        <pic:spPr bwMode="auto">
                          <a:xfrm>
                            <a:off x="0" y="0"/>
                            <a:ext cx="5503598" cy="4586332"/>
                          </a:xfrm>
                          <a:prstGeom prst="rect">
                            <a:avLst/>
                          </a:prstGeom>
                          <a:noFill/>
                          <a:ln w="9525">
                            <a:noFill/>
                            <a:headEnd/>
                            <a:tailEnd/>
                          </a:ln>
                        </pic:spPr>
                      </pic:pic>
                    </a:graphicData>
                  </a:graphic>
                </wp:inline>
              </w:drawing>
            </w:r>
          </w:p>
        </w:tc>
        <w:bookmarkEnd w:id="25"/>
      </w:tr>
    </w:tbl>
    <w:p w14:paraId="000B2F76" w14:textId="77777777" w:rsidR="002B0E5A" w:rsidRDefault="00823BCA">
      <w:pPr>
        <w:pStyle w:val="RSSourceandnotes"/>
      </w:pPr>
      <w:r>
        <w:t xml:space="preserve">Source: Authors’ </w:t>
      </w:r>
      <w:proofErr w:type="gramStart"/>
      <w:r>
        <w:t>own</w:t>
      </w:r>
      <w:proofErr w:type="gramEnd"/>
      <w:r>
        <w:t xml:space="preserve"> analysis of the European Social Survey Round 11 and Eurobarometer Flash Survey 2025</w:t>
      </w:r>
    </w:p>
    <w:p w14:paraId="000B2F77" w14:textId="53F8C34E" w:rsidR="002B0E5A" w:rsidRDefault="00823BCA">
      <w:pPr>
        <w:pStyle w:val="BodyText"/>
      </w:pPr>
      <w:r>
        <w:t xml:space="preserve">Comparing ESS data on support for specific welfare policies (discussed in </w:t>
      </w:r>
      <w:hyperlink w:anchor="sec-what">
        <w:r>
          <w:rPr>
            <w:rStyle w:val="Hyperlink"/>
          </w:rPr>
          <w:t>Chapter 3</w:t>
        </w:r>
      </w:hyperlink>
      <w:r>
        <w:t xml:space="preserve">) and government policies, Rosset, </w:t>
      </w:r>
      <w:proofErr w:type="spellStart"/>
      <w:r>
        <w:t>Poltier</w:t>
      </w:r>
      <w:proofErr w:type="spellEnd"/>
      <w:r>
        <w:t>, and Pontusson (</w:t>
      </w:r>
      <w:hyperlink w:anchor="ref-rosset_unevenly_2025">
        <w:r>
          <w:rPr>
            <w:rStyle w:val="Hyperlink"/>
          </w:rPr>
          <w:t>2025</w:t>
        </w:r>
      </w:hyperlink>
      <w:r>
        <w:t>) found mixed evidence for policy responsiveness. Although tax policies in several countries have moved in the same direction of the increasingly progressive attitudes to welfare, unemployment policy has not had the same trajectory.</w:t>
      </w:r>
    </w:p>
    <w:p w14:paraId="000B2F78" w14:textId="77777777" w:rsidR="002B0E5A" w:rsidRDefault="00823BCA">
      <w:pPr>
        <w:pStyle w:val="Heading2"/>
      </w:pPr>
      <w:bookmarkStart w:id="26" w:name="X1f88204b286a9677401192f98aa850b4f9e4cfe"/>
      <w:bookmarkStart w:id="27" w:name="_Toc210752629"/>
      <w:bookmarkEnd w:id="23"/>
      <w:r>
        <w:t>2.3 Female and lower SES respondents are more supportive of redistribution</w:t>
      </w:r>
      <w:bookmarkEnd w:id="27"/>
    </w:p>
    <w:p w14:paraId="000B2F79" w14:textId="4DC8E50E" w:rsidR="002B0E5A" w:rsidRDefault="00823BCA">
      <w:pPr>
        <w:pStyle w:val="FirstParagraph"/>
      </w:pPr>
      <w:r>
        <w:t>Despite the profusion of studies on the relationship between gender and welfare policies, there is a gap in understanding the gender dimension of beliefs and perceptions in relation to these policies (</w:t>
      </w:r>
      <w:proofErr w:type="spellStart"/>
      <w:r>
        <w:fldChar w:fldCharType="begin"/>
      </w:r>
      <w:r>
        <w:instrText>HYPERLINK \l "ref-garritzmann_gender_2021" \h</w:instrText>
      </w:r>
      <w:r>
        <w:fldChar w:fldCharType="separate"/>
      </w:r>
      <w:r>
        <w:rPr>
          <w:rStyle w:val="Hyperlink"/>
        </w:rPr>
        <w:t>Garritzmann</w:t>
      </w:r>
      <w:proofErr w:type="spellEnd"/>
      <w:r>
        <w:rPr>
          <w:rStyle w:val="Hyperlink"/>
        </w:rPr>
        <w:t xml:space="preserve"> and Schwander 2021</w:t>
      </w:r>
      <w:r>
        <w:fldChar w:fldCharType="end"/>
      </w:r>
      <w:r>
        <w:t>). Considering the marked gender differences in access to the labour market and levels of pay in Ireland (</w:t>
      </w:r>
      <w:proofErr w:type="spellStart"/>
      <w:r>
        <w:fldChar w:fldCharType="begin"/>
      </w:r>
      <w:r>
        <w:instrText>HYPERLINK \l "ref-hingre_gender_2024" \h</w:instrText>
      </w:r>
      <w:r>
        <w:fldChar w:fldCharType="separate"/>
      </w:r>
      <w:r>
        <w:rPr>
          <w:rStyle w:val="Hyperlink"/>
        </w:rPr>
        <w:t>Hingre</w:t>
      </w:r>
      <w:proofErr w:type="spellEnd"/>
      <w:r>
        <w:rPr>
          <w:rStyle w:val="Hyperlink"/>
        </w:rPr>
        <w:t xml:space="preserve"> et al. 2024</w:t>
      </w:r>
      <w:r>
        <w:fldChar w:fldCharType="end"/>
      </w:r>
      <w:r>
        <w:t xml:space="preserve">), it is plausible to also expect differences in demands for income </w:t>
      </w:r>
      <w:proofErr w:type="spellStart"/>
      <w:r>
        <w:t>redistirbution</w:t>
      </w:r>
      <w:proofErr w:type="spellEnd"/>
      <w:r>
        <w:t>.</w:t>
      </w:r>
    </w:p>
    <w:p w14:paraId="000B2F7A" w14:textId="77777777" w:rsidR="002B0E5A" w:rsidRDefault="00823BCA">
      <w:pPr>
        <w:pStyle w:val="BodyText"/>
      </w:pPr>
      <w:r>
        <w:lastRenderedPageBreak/>
        <w:t>On average, there is no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14:paraId="000B2F7B" w14:textId="673182F0" w:rsidR="002B0E5A" w:rsidRDefault="00823BCA">
      <w:pPr>
        <w:pStyle w:val="BodyText"/>
      </w:pPr>
      <w:r>
        <w:t xml:space="preserve">However, as shown in </w:t>
      </w:r>
      <w:hyperlink w:anchor="fig-sex">
        <w:r>
          <w:rPr>
            <w:rStyle w:val="Hyperlink"/>
          </w:rPr>
          <w:t>Figure 2.3</w:t>
        </w:r>
      </w:hyperlink>
      <w:r>
        <w:t>, there is some variation across time in relation to this gap. Considering all 11 rounds of the ESS together, there is a significantly higher support for redistribution among female respondents compared to male respondents. However, both genders tend to follow a similar trend in their support for redistribution over time.</w:t>
      </w:r>
    </w:p>
    <w:tbl>
      <w:tblPr>
        <w:tblW w:w="5000" w:type="pct"/>
        <w:tblLayout w:type="fixed"/>
        <w:tblLook w:val="0000" w:firstRow="0" w:lastRow="0" w:firstColumn="0" w:lastColumn="0" w:noHBand="0" w:noVBand="0"/>
      </w:tblPr>
      <w:tblGrid>
        <w:gridCol w:w="9026"/>
      </w:tblGrid>
      <w:tr w:rsidR="002B0E5A" w14:paraId="000B2F7E" w14:textId="77777777">
        <w:tc>
          <w:tcPr>
            <w:tcW w:w="7920" w:type="dxa"/>
          </w:tcPr>
          <w:p w14:paraId="000B2F7C" w14:textId="77777777" w:rsidR="002B0E5A" w:rsidRDefault="00823BCA">
            <w:pPr>
              <w:pStyle w:val="ImageCaption"/>
              <w:spacing w:before="200"/>
              <w:jc w:val="left"/>
            </w:pPr>
            <w:bookmarkStart w:id="28" w:name="fig-sex"/>
            <w:r>
              <w:t>Figure 2.3: Support for redistribution in Ireland by sex, 2002-2023</w:t>
            </w:r>
          </w:p>
          <w:p w14:paraId="000B2F7D" w14:textId="77777777" w:rsidR="002B0E5A" w:rsidRDefault="00823BCA">
            <w:pPr>
              <w:jc w:val="center"/>
            </w:pPr>
            <w:r>
              <w:rPr>
                <w:noProof/>
              </w:rPr>
              <w:drawing>
                <wp:inline distT="0" distB="0" distL="0" distR="0" wp14:anchorId="000B303F" wp14:editId="000B3040">
                  <wp:extent cx="5503598" cy="3669065"/>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img/fig_sex.png"/>
                          <pic:cNvPicPr>
                            <a:picLocks noChangeAspect="1" noChangeArrowheads="1"/>
                          </pic:cNvPicPr>
                        </pic:nvPicPr>
                        <pic:blipFill>
                          <a:blip r:embed="rId9"/>
                          <a:stretch>
                            <a:fillRect/>
                          </a:stretch>
                        </pic:blipFill>
                        <pic:spPr bwMode="auto">
                          <a:xfrm>
                            <a:off x="0" y="0"/>
                            <a:ext cx="5503598" cy="3669065"/>
                          </a:xfrm>
                          <a:prstGeom prst="rect">
                            <a:avLst/>
                          </a:prstGeom>
                          <a:noFill/>
                          <a:ln w="9525">
                            <a:noFill/>
                            <a:headEnd/>
                            <a:tailEnd/>
                          </a:ln>
                        </pic:spPr>
                      </pic:pic>
                    </a:graphicData>
                  </a:graphic>
                </wp:inline>
              </w:drawing>
            </w:r>
          </w:p>
        </w:tc>
        <w:bookmarkEnd w:id="28"/>
      </w:tr>
    </w:tbl>
    <w:p w14:paraId="000B2F7F" w14:textId="77777777" w:rsidR="002B0E5A" w:rsidRDefault="00823BCA">
      <w:pPr>
        <w:pStyle w:val="RSSourceandnotes"/>
      </w:pPr>
      <w:r>
        <w:t xml:space="preserve">Source: Authors’ </w:t>
      </w:r>
      <w:proofErr w:type="gramStart"/>
      <w:r>
        <w:t>own</w:t>
      </w:r>
      <w:proofErr w:type="gramEnd"/>
      <w:r>
        <w:t xml:space="preserve"> analysis of the European Social Survey</w:t>
      </w:r>
    </w:p>
    <w:p w14:paraId="000B2F80" w14:textId="5065E6A3" w:rsidR="002B0E5A" w:rsidRDefault="00823BCA">
      <w:pPr>
        <w:pStyle w:val="BodyText"/>
      </w:pPr>
      <w:r>
        <w:t xml:space="preserve">In addition, data suggest an age pattern where younger respondents tend to be more supportive of income redistribution in Ireland. As shown in </w:t>
      </w:r>
      <w:hyperlink w:anchor="fig-age-eu">
        <w:r>
          <w:rPr>
            <w:rStyle w:val="Hyperlink"/>
          </w:rPr>
          <w:t>Figure 2.4</w:t>
        </w:r>
      </w:hyperlink>
      <w:r>
        <w:t>, the opposite pattern is observed in Finland and Iceland. Although the UK also has a similar negative relationship between age and support, the agreement among young respondents (18-35) is higher in Ireland.</w:t>
      </w:r>
    </w:p>
    <w:tbl>
      <w:tblPr>
        <w:tblW w:w="5000" w:type="pct"/>
        <w:tblLayout w:type="fixed"/>
        <w:tblLook w:val="0000" w:firstRow="0" w:lastRow="0" w:firstColumn="0" w:lastColumn="0" w:noHBand="0" w:noVBand="0"/>
      </w:tblPr>
      <w:tblGrid>
        <w:gridCol w:w="9026"/>
      </w:tblGrid>
      <w:tr w:rsidR="002B0E5A" w14:paraId="000B2F83" w14:textId="77777777">
        <w:tc>
          <w:tcPr>
            <w:tcW w:w="7920" w:type="dxa"/>
          </w:tcPr>
          <w:p w14:paraId="000B2F81" w14:textId="77777777" w:rsidR="002B0E5A" w:rsidRDefault="00823BCA">
            <w:pPr>
              <w:pStyle w:val="ImageCaption"/>
              <w:spacing w:before="200"/>
              <w:jc w:val="left"/>
            </w:pPr>
            <w:bookmarkStart w:id="29" w:name="fig-age-eu"/>
            <w:r>
              <w:lastRenderedPageBreak/>
              <w:t>Figure 2.4: Scatter plot of support for redistribution by age and country, 2023</w:t>
            </w:r>
          </w:p>
          <w:p w14:paraId="000B2F82" w14:textId="77777777" w:rsidR="002B0E5A" w:rsidRDefault="00823BCA">
            <w:pPr>
              <w:jc w:val="center"/>
            </w:pPr>
            <w:r>
              <w:rPr>
                <w:noProof/>
              </w:rPr>
              <w:drawing>
                <wp:inline distT="0" distB="0" distL="0" distR="0" wp14:anchorId="000B3041" wp14:editId="000B3042">
                  <wp:extent cx="5503598" cy="366906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g/fig_age_eu.png"/>
                          <pic:cNvPicPr>
                            <a:picLocks noChangeAspect="1" noChangeArrowheads="1"/>
                          </pic:cNvPicPr>
                        </pic:nvPicPr>
                        <pic:blipFill>
                          <a:blip r:embed="rId10"/>
                          <a:stretch>
                            <a:fillRect/>
                          </a:stretch>
                        </pic:blipFill>
                        <pic:spPr bwMode="auto">
                          <a:xfrm>
                            <a:off x="0" y="0"/>
                            <a:ext cx="5503598" cy="3669065"/>
                          </a:xfrm>
                          <a:prstGeom prst="rect">
                            <a:avLst/>
                          </a:prstGeom>
                          <a:noFill/>
                          <a:ln w="9525">
                            <a:noFill/>
                            <a:headEnd/>
                            <a:tailEnd/>
                          </a:ln>
                        </pic:spPr>
                      </pic:pic>
                    </a:graphicData>
                  </a:graphic>
                </wp:inline>
              </w:drawing>
            </w:r>
          </w:p>
        </w:tc>
        <w:bookmarkEnd w:id="29"/>
      </w:tr>
    </w:tbl>
    <w:p w14:paraId="000B2F84" w14:textId="77777777" w:rsidR="002B0E5A" w:rsidRDefault="00823BCA">
      <w:pPr>
        <w:pStyle w:val="RSSourceandnotes"/>
      </w:pPr>
      <w:r>
        <w:t xml:space="preserve">Source: Authors’ </w:t>
      </w:r>
      <w:proofErr w:type="gramStart"/>
      <w:r>
        <w:t>own</w:t>
      </w:r>
      <w:proofErr w:type="gramEnd"/>
      <w:r>
        <w:t xml:space="preserve"> analysis of the European Social Survey Round 11</w:t>
      </w:r>
    </w:p>
    <w:p w14:paraId="000B2F85" w14:textId="78B9204D" w:rsidR="002B0E5A" w:rsidRDefault="00823BCA">
      <w:pPr>
        <w:pStyle w:val="BodyText"/>
      </w:pPr>
      <w:r>
        <w:t xml:space="preserve">Using a longer </w:t>
      </w:r>
      <w:proofErr w:type="gramStart"/>
      <w:r>
        <w:t>time period</w:t>
      </w:r>
      <w:proofErr w:type="gramEnd"/>
      <w:r>
        <w:t xml:space="preserve">, however, we observe different relationships depending on the time of the data collection. These different associations over time might suggest a context-dependent association or different level of support across generations instead of age groups. This topic is further explored in </w:t>
      </w:r>
      <w:hyperlink w:anchor="sec-change">
        <w:r>
          <w:rPr>
            <w:rStyle w:val="Hyperlink"/>
          </w:rPr>
          <w:t>Chapter 4</w:t>
        </w:r>
      </w:hyperlink>
      <w:r>
        <w:t>.</w:t>
      </w:r>
    </w:p>
    <w:p w14:paraId="000B2F86" w14:textId="64FD6ECD" w:rsidR="002B0E5A" w:rsidRDefault="00823BCA">
      <w:pPr>
        <w:pStyle w:val="BodyText"/>
      </w:pPr>
      <w:r>
        <w:t>Finally, there is robust evidence for the association between socio-economic status (SES) and overall welfare attitudes in Europe (</w:t>
      </w:r>
      <w:proofErr w:type="spellStart"/>
      <w:r>
        <w:fldChar w:fldCharType="begin"/>
      </w:r>
      <w:r>
        <w:instrText>HYPERLINK \l "ref-svallfors_contested_2012" \h</w:instrText>
      </w:r>
      <w:r>
        <w:fldChar w:fldCharType="separate"/>
      </w:r>
      <w:r>
        <w:rPr>
          <w:rStyle w:val="Hyperlink"/>
        </w:rPr>
        <w:t>Svallfors</w:t>
      </w:r>
      <w:proofErr w:type="spellEnd"/>
      <w:r>
        <w:rPr>
          <w:rStyle w:val="Hyperlink"/>
        </w:rPr>
        <w:t xml:space="preserve"> 2012</w:t>
      </w:r>
      <w:r>
        <w:fldChar w:fldCharType="end"/>
      </w:r>
      <w:r>
        <w:t xml:space="preserve">; </w:t>
      </w:r>
      <w:hyperlink w:anchor="ref-kulin_class_2013">
        <w:r>
          <w:rPr>
            <w:rStyle w:val="Hyperlink"/>
          </w:rPr>
          <w:t xml:space="preserve">Kulin and </w:t>
        </w:r>
        <w:proofErr w:type="spellStart"/>
        <w:r>
          <w:rPr>
            <w:rStyle w:val="Hyperlink"/>
          </w:rPr>
          <w:t>Svallfors</w:t>
        </w:r>
        <w:proofErr w:type="spellEnd"/>
        <w:r>
          <w:rPr>
            <w:rStyle w:val="Hyperlink"/>
          </w:rPr>
          <w:t xml:space="preserve"> 2013</w:t>
        </w:r>
      </w:hyperlink>
      <w:r>
        <w:t xml:space="preserve">; </w:t>
      </w:r>
      <w:hyperlink w:anchor="ref-langsaether_more_2020">
        <w:proofErr w:type="spellStart"/>
        <w:r>
          <w:rPr>
            <w:rStyle w:val="Hyperlink"/>
          </w:rPr>
          <w:t>Langsæther</w:t>
        </w:r>
        <w:proofErr w:type="spellEnd"/>
        <w:r>
          <w:rPr>
            <w:rStyle w:val="Hyperlink"/>
          </w:rPr>
          <w:t xml:space="preserve"> and Evans 2020</w:t>
        </w:r>
      </w:hyperlink>
      <w:r>
        <w:t xml:space="preserve">; </w:t>
      </w:r>
      <w:hyperlink w:anchor="ref-steele_wealth_2022">
        <w:r>
          <w:rPr>
            <w:rStyle w:val="Hyperlink"/>
          </w:rPr>
          <w:t xml:space="preserve">Steele, Cohen, and Van Der </w:t>
        </w:r>
        <w:proofErr w:type="spellStart"/>
        <w:r>
          <w:rPr>
            <w:rStyle w:val="Hyperlink"/>
          </w:rPr>
          <w:t>Naald</w:t>
        </w:r>
        <w:proofErr w:type="spellEnd"/>
        <w:r>
          <w:rPr>
            <w:rStyle w:val="Hyperlink"/>
          </w:rPr>
          <w:t xml:space="preserve"> 2022</w:t>
        </w:r>
      </w:hyperlink>
      <w:r>
        <w:t xml:space="preserve">). The analysis using social class, household income, and ‘feeling about financial situation of the household’ suggests a negative relationship between SES and support for redistribution. The mean values shown in </w:t>
      </w:r>
      <w:hyperlink w:anchor="fig-ses">
        <w:r>
          <w:rPr>
            <w:rStyle w:val="Hyperlink"/>
          </w:rPr>
          <w:t>Figure 2.5</w:t>
        </w:r>
      </w:hyperlink>
      <w:r>
        <w:t xml:space="preserve"> indicate that both ‘skilled’ and ‘unskilled’ workers show higher levels of agreement with the government reducing income differences whereas ‘small business owners’ and the ‘service class’, which includes managers and professionals, show lower levels of agreement. A higher support is also found among those in lower income quintiles and whose financial situation is ‘very difficult’.</w:t>
      </w:r>
    </w:p>
    <w:tbl>
      <w:tblPr>
        <w:tblW w:w="5000" w:type="pct"/>
        <w:tblLayout w:type="fixed"/>
        <w:tblLook w:val="0000" w:firstRow="0" w:lastRow="0" w:firstColumn="0" w:lastColumn="0" w:noHBand="0" w:noVBand="0"/>
      </w:tblPr>
      <w:tblGrid>
        <w:gridCol w:w="9026"/>
      </w:tblGrid>
      <w:tr w:rsidR="002B0E5A" w14:paraId="000B2F89" w14:textId="77777777">
        <w:tc>
          <w:tcPr>
            <w:tcW w:w="7920" w:type="dxa"/>
          </w:tcPr>
          <w:p w14:paraId="000B2F87" w14:textId="77777777" w:rsidR="002B0E5A" w:rsidRDefault="00823BCA">
            <w:pPr>
              <w:pStyle w:val="ImageCaption"/>
              <w:spacing w:before="200"/>
              <w:jc w:val="left"/>
            </w:pPr>
            <w:bookmarkStart w:id="30" w:name="fig-ses"/>
            <w:r>
              <w:lastRenderedPageBreak/>
              <w:t>Figure 2.5: Mean value of support for redistribution by social class, income quintile, and financial situation, Ireland, 2002-2023</w:t>
            </w:r>
          </w:p>
          <w:p w14:paraId="000B2F88" w14:textId="77777777" w:rsidR="002B0E5A" w:rsidRDefault="00823BCA">
            <w:pPr>
              <w:jc w:val="center"/>
            </w:pPr>
            <w:r>
              <w:rPr>
                <w:noProof/>
              </w:rPr>
              <w:drawing>
                <wp:inline distT="0" distB="0" distL="0" distR="0" wp14:anchorId="000B3043" wp14:editId="000B3044">
                  <wp:extent cx="5727700" cy="57277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g/fig_class.png"/>
                          <pic:cNvPicPr>
                            <a:picLocks noChangeAspect="1" noChangeArrowheads="1"/>
                          </pic:cNvPicPr>
                        </pic:nvPicPr>
                        <pic:blipFill>
                          <a:blip r:embed="rId11"/>
                          <a:stretch>
                            <a:fillRect/>
                          </a:stretch>
                        </pic:blipFill>
                        <pic:spPr bwMode="auto">
                          <a:xfrm>
                            <a:off x="0" y="0"/>
                            <a:ext cx="5727700" cy="5727700"/>
                          </a:xfrm>
                          <a:prstGeom prst="rect">
                            <a:avLst/>
                          </a:prstGeom>
                          <a:noFill/>
                          <a:ln w="9525">
                            <a:noFill/>
                            <a:headEnd/>
                            <a:tailEnd/>
                          </a:ln>
                        </pic:spPr>
                      </pic:pic>
                    </a:graphicData>
                  </a:graphic>
                </wp:inline>
              </w:drawing>
            </w:r>
          </w:p>
        </w:tc>
        <w:bookmarkEnd w:id="30"/>
      </w:tr>
    </w:tbl>
    <w:p w14:paraId="000B2F8A" w14:textId="77777777" w:rsidR="002B0E5A" w:rsidRDefault="00823BCA">
      <w:pPr>
        <w:pStyle w:val="RSSourceandnotes"/>
      </w:pPr>
      <w:r>
        <w:t xml:space="preserve">Source: Authors’ </w:t>
      </w:r>
      <w:proofErr w:type="gramStart"/>
      <w:r>
        <w:t>own</w:t>
      </w:r>
      <w:proofErr w:type="gramEnd"/>
      <w:r>
        <w:t xml:space="preserve"> analysis of the European Social Survey</w:t>
      </w:r>
    </w:p>
    <w:p w14:paraId="000B2F8B" w14:textId="77777777" w:rsidR="002B0E5A" w:rsidRDefault="00823BCA">
      <w:pPr>
        <w:pStyle w:val="Heading2"/>
      </w:pPr>
      <w:bookmarkStart w:id="31" w:name="X33c9afebe6aaae6fc22bed255c56d37bc85f7a4"/>
      <w:bookmarkStart w:id="32" w:name="_Toc210752630"/>
      <w:bookmarkEnd w:id="26"/>
      <w:r>
        <w:t>2.4 Left-wing voters are more supportive of redistribution</w:t>
      </w:r>
      <w:bookmarkEnd w:id="32"/>
    </w:p>
    <w:p w14:paraId="000B2F8C" w14:textId="77777777" w:rsidR="002B0E5A" w:rsidRDefault="00823BCA">
      <w:pPr>
        <w:pStyle w:val="FirstParagraph"/>
      </w:pPr>
      <w:r>
        <w:t>The ESS survey also finds a consistent pattern of association between the respondents’ ideological positioning and support for redistribution. Those participants who position themselves more to the left of the left-right political scale tend to be more supportive of redistribution since 2002, even though this correlation is weaker in Ireland compared to other European countries.</w:t>
      </w:r>
    </w:p>
    <w:p w14:paraId="000B2F8D" w14:textId="6B5110A3" w:rsidR="002B0E5A" w:rsidRDefault="00823BCA">
      <w:pPr>
        <w:pStyle w:val="BodyText"/>
      </w:pPr>
      <w:r>
        <w:t xml:space="preserve">With the data from the Voter </w:t>
      </w:r>
      <w:proofErr w:type="gramStart"/>
      <w:r>
        <w:t>Survey</w:t>
      </w:r>
      <w:proofErr w:type="gramEnd"/>
      <w:r>
        <w:t xml:space="preserve"> it is also possible to examine differences in redistribution preferences across voting choice in the European Parliament elections. People Before Profit (7.5) and Sinn Féin (6.4) voters indicate the highest </w:t>
      </w:r>
      <w:r>
        <w:lastRenderedPageBreak/>
        <w:t>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interp</w:t>
      </w:r>
      <w:r>
        <w:t>reted with caution due to the small sample size of respondents who voted in the last European elections. However, Attewell (</w:t>
      </w:r>
      <w:hyperlink w:anchor="ref-attewell_deservingness_2021">
        <w:r>
          <w:rPr>
            <w:rStyle w:val="Hyperlink"/>
          </w:rPr>
          <w:t>2021</w:t>
        </w:r>
      </w:hyperlink>
      <w:r>
        <w:t>) indicate that this pattern is consistent across most Western European countries, and welfare attitudes are relevant predictors of voting even for parties with focus on non-economic issues such as ‘immigration’ and EU integration.</w:t>
      </w:r>
    </w:p>
    <w:p w14:paraId="000B2F8E" w14:textId="77777777" w:rsidR="002B0E5A" w:rsidRDefault="00823BCA">
      <w:pPr>
        <w:pStyle w:val="Heading2"/>
      </w:pPr>
      <w:bookmarkStart w:id="33" w:name="Xec7dce69ab8bbc354d30c9faeadf5914599bb9a"/>
      <w:bookmarkStart w:id="34" w:name="_Toc210752631"/>
      <w:bookmarkEnd w:id="31"/>
      <w:r>
        <w:t>2.5 Age, gender and social class are relevant even controlling for economic activity, education and financial situation</w:t>
      </w:r>
      <w:bookmarkEnd w:id="34"/>
    </w:p>
    <w:p w14:paraId="000B2F8F" w14:textId="77777777" w:rsidR="002B0E5A" w:rsidRDefault="00823BCA">
      <w:pPr>
        <w:pStyle w:val="FirstParagraph"/>
      </w:pPr>
      <w:r>
        <w:t>We created a fixed-effects multivariate regression model to assess the extent to which these individual factors are associated with support for redistribution, considering all ESS rounds in Ireland. In addition to these main variables, the model also includes a measurement of the household financial situation. A subjective measurement was chosen (‘Satisfaction with the household income’) instead of household income due to the high proportion of missing values in the former. However, the same model using hou</w:t>
      </w:r>
      <w:r>
        <w:t>sehold income instead of this subjective measurement indicates similar results for the main variables (see Annex 1). Finally, the following control variables were also added to the model: economic activity (‘Main activity in the last seven days’), educational attainment, and political ideology (‘Placement in the left-right scale’).</w:t>
      </w:r>
    </w:p>
    <w:p w14:paraId="000B2F90" w14:textId="0EF1DF4C" w:rsidR="002B0E5A" w:rsidRDefault="00823BCA">
      <w:pPr>
        <w:pStyle w:val="BodyText"/>
      </w:pPr>
      <w:hyperlink w:anchor="tbl-multiv-gincdif">
        <w:r>
          <w:rPr>
            <w:rStyle w:val="Hyperlink"/>
          </w:rPr>
          <w:t>Table 2.1</w:t>
        </w:r>
      </w:hyperlink>
      <w:r>
        <w:t xml:space="preserve"> below shows the estimates of the logistic regression model detecting significant differences across groups. Older age groups are all expected to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w:t>
      </w:r>
      <w:r>
        <w:t>of the government reducing income differences.</w:t>
      </w:r>
    </w:p>
    <w:p w14:paraId="000B2F91" w14:textId="35AE6531" w:rsidR="002B0E5A" w:rsidRDefault="00823BCA">
      <w:pPr>
        <w:pStyle w:val="BodyText"/>
      </w:pPr>
      <w:r>
        <w:t xml:space="preserve">Those who were not born in Ireland are significantly less likely to support redistribution compared to natives. This is a pattern found in other European countries by </w:t>
      </w:r>
      <w:proofErr w:type="spellStart"/>
      <w:r>
        <w:t>Gonnot</w:t>
      </w:r>
      <w:proofErr w:type="spellEnd"/>
      <w:r>
        <w:t xml:space="preserve"> and Polito (</w:t>
      </w:r>
      <w:hyperlink w:anchor="ref-gonnot_cultural_2023">
        <w:r>
          <w:rPr>
            <w:rStyle w:val="Hyperlink"/>
          </w:rPr>
          <w:t>2023</w:t>
        </w:r>
      </w:hyperlink>
      <w:r>
        <w:t>), who suggests that this could be explained by experiences with discrimination and lower access to social benefits. As discussed earlier in this chapter, both female respondents and those who place themselves on the left of the left-right scale are more likely to support income redistribution, even when controlling for other factors such as age and social class.</w:t>
      </w:r>
    </w:p>
    <w:tbl>
      <w:tblPr>
        <w:tblW w:w="5000" w:type="pct"/>
        <w:tblLayout w:type="fixed"/>
        <w:tblLook w:val="0000" w:firstRow="0" w:lastRow="0" w:firstColumn="0" w:lastColumn="0" w:noHBand="0" w:noVBand="0"/>
      </w:tblPr>
      <w:tblGrid>
        <w:gridCol w:w="9026"/>
      </w:tblGrid>
      <w:tr w:rsidR="002B0E5A" w14:paraId="000B2F94" w14:textId="77777777">
        <w:tc>
          <w:tcPr>
            <w:tcW w:w="7920" w:type="dxa"/>
          </w:tcPr>
          <w:p w14:paraId="000B2F92" w14:textId="77777777" w:rsidR="002B0E5A" w:rsidRDefault="00823BCA">
            <w:pPr>
              <w:pStyle w:val="ImageCaption"/>
              <w:spacing w:before="200"/>
              <w:jc w:val="left"/>
            </w:pPr>
            <w:bookmarkStart w:id="35" w:name="tbl-multiv-gincdif"/>
            <w:r>
              <w:lastRenderedPageBreak/>
              <w:t>Table 2.1: Logistic regression estimates (odds-ratio) for ‘support for redistribution’, Ireland, 2002-2023</w:t>
            </w:r>
          </w:p>
          <w:p w14:paraId="000B2F93" w14:textId="77777777" w:rsidR="002B0E5A" w:rsidRDefault="00823BCA">
            <w:pPr>
              <w:jc w:val="center"/>
            </w:pPr>
            <w:r>
              <w:rPr>
                <w:noProof/>
              </w:rPr>
              <w:drawing>
                <wp:inline distT="0" distB="0" distL="0" distR="0" wp14:anchorId="000B3045" wp14:editId="000B3046">
                  <wp:extent cx="5727700" cy="822887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g/tbl_multiv_gincdif.png"/>
                          <pic:cNvPicPr>
                            <a:picLocks noChangeAspect="1" noChangeArrowheads="1"/>
                          </pic:cNvPicPr>
                        </pic:nvPicPr>
                        <pic:blipFill>
                          <a:blip r:embed="rId12"/>
                          <a:stretch>
                            <a:fillRect/>
                          </a:stretch>
                        </pic:blipFill>
                        <pic:spPr bwMode="auto">
                          <a:xfrm>
                            <a:off x="0" y="0"/>
                            <a:ext cx="5727700" cy="8228879"/>
                          </a:xfrm>
                          <a:prstGeom prst="rect">
                            <a:avLst/>
                          </a:prstGeom>
                          <a:noFill/>
                          <a:ln w="9525">
                            <a:noFill/>
                            <a:headEnd/>
                            <a:tailEnd/>
                          </a:ln>
                        </pic:spPr>
                      </pic:pic>
                    </a:graphicData>
                  </a:graphic>
                </wp:inline>
              </w:drawing>
            </w:r>
          </w:p>
        </w:tc>
        <w:bookmarkEnd w:id="35"/>
      </w:tr>
    </w:tbl>
    <w:p w14:paraId="000B2F95" w14:textId="77777777" w:rsidR="002B0E5A" w:rsidRDefault="00823BCA">
      <w:pPr>
        <w:pStyle w:val="RSSourceandnotes"/>
      </w:pPr>
      <w:r>
        <w:t xml:space="preserve">Source: Authors’ </w:t>
      </w:r>
      <w:proofErr w:type="gramStart"/>
      <w:r>
        <w:t>own</w:t>
      </w:r>
      <w:proofErr w:type="gramEnd"/>
      <w:r>
        <w:t xml:space="preserve"> analysis of the European Social Survey</w:t>
      </w:r>
      <w:r>
        <w:br/>
        <w:t>Note: ‘Main activity’, ‘Educational attainment’ and ‘ESS round’ omitted (see Annex 1 for full table)</w:t>
      </w:r>
    </w:p>
    <w:p w14:paraId="000B2F96" w14:textId="2E292E53" w:rsidR="002B0E5A" w:rsidRDefault="00823BCA">
      <w:pPr>
        <w:pStyle w:val="BodyText"/>
      </w:pPr>
      <w:r>
        <w:lastRenderedPageBreak/>
        <w:t>Overall, the examination of individual factors associated with support for income redistribution in Ireland goes in the same direction of the literature pointing out the role of material interests (financial situation) and perspectives of upward mobility (social class) Bonnet et al. (</w:t>
      </w:r>
      <w:hyperlink w:anchor="ref-bonnet_what_2024">
        <w:r>
          <w:rPr>
            <w:rStyle w:val="Hyperlink"/>
          </w:rPr>
          <w:t>2024</w:t>
        </w:r>
      </w:hyperlink>
      <w:r>
        <w:t>).</w:t>
      </w:r>
    </w:p>
    <w:p w14:paraId="000B2F97" w14:textId="77777777" w:rsidR="002B0E5A" w:rsidRDefault="00823BCA">
      <w:pPr>
        <w:pStyle w:val="Heading1"/>
      </w:pPr>
      <w:bookmarkStart w:id="36" w:name="sec-what"/>
      <w:bookmarkStart w:id="37" w:name="_Toc210752632"/>
      <w:bookmarkEnd w:id="33"/>
      <w:bookmarkEnd w:id="18"/>
      <w:r>
        <w:t>3. What people think about welfare policies?</w:t>
      </w:r>
      <w:bookmarkEnd w:id="37"/>
    </w:p>
    <w:p w14:paraId="000B2F98" w14:textId="2C0D7EBD" w:rsidR="002B0E5A" w:rsidRDefault="00823BCA">
      <w:pPr>
        <w:pStyle w:val="FirstParagraph"/>
      </w:pPr>
      <w:r>
        <w:t>The data analysed in this chapter refers to a special module from the European Social Survey on welfare attitudes that was fielded in 2009 (Round 4) and repeated in 2016 (Round 8) (see Meuleman et al. (</w:t>
      </w:r>
      <w:hyperlink w:anchor="ref-meuleman_past_2018">
        <w:r>
          <w:rPr>
            <w:rStyle w:val="Hyperlink"/>
          </w:rPr>
          <w:t>2018</w:t>
        </w:r>
      </w:hyperlink>
      <w:r>
        <w:t>) for more on this module). These rounds of data collection contain additional questions on beliefs about welfare, social benefits and their beneficiaries.</w:t>
      </w:r>
    </w:p>
    <w:p w14:paraId="000B2F99" w14:textId="77777777" w:rsidR="002B0E5A" w:rsidRDefault="00823BCA">
      <w:pPr>
        <w:pStyle w:val="Heading2"/>
      </w:pPr>
      <w:bookmarkStart w:id="38" w:name="X2bed07455a0f9c2bf8a95c136e5f0add8a4cf38"/>
      <w:bookmarkStart w:id="39" w:name="_Toc210752633"/>
      <w:r>
        <w:t>3.1 Meritocratic differences are acceptable for younger and right-wing respondents</w:t>
      </w:r>
      <w:bookmarkEnd w:id="39"/>
    </w:p>
    <w:p w14:paraId="000B2F9A" w14:textId="2349750A" w:rsidR="002B0E5A" w:rsidRDefault="00823BCA">
      <w:pPr>
        <w:pStyle w:val="FirstParagraph"/>
      </w:pPr>
      <w:r>
        <w:t>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and m</w:t>
      </w:r>
      <w:r>
        <w:t>eritocracy are also relevant to understand overall support to welfare policies (</w:t>
      </w:r>
      <w:proofErr w:type="spellStart"/>
      <w:r>
        <w:fldChar w:fldCharType="begin"/>
      </w:r>
      <w:r>
        <w:instrText>HYPERLINK \l "ref-cavaille_fair_2025" \h</w:instrText>
      </w:r>
      <w:r>
        <w:fldChar w:fldCharType="separate"/>
      </w:r>
      <w:r>
        <w:rPr>
          <w:rStyle w:val="Hyperlink"/>
        </w:rPr>
        <w:t>Cavaillé</w:t>
      </w:r>
      <w:proofErr w:type="spellEnd"/>
      <w:r>
        <w:rPr>
          <w:rStyle w:val="Hyperlink"/>
        </w:rPr>
        <w:t xml:space="preserve"> 2025</w:t>
      </w:r>
      <w:r>
        <w:fldChar w:fldCharType="end"/>
      </w:r>
      <w:r>
        <w:t>).</w:t>
      </w:r>
    </w:p>
    <w:p w14:paraId="000B2F9B" w14:textId="77777777" w:rsidR="002B0E5A" w:rsidRDefault="00823BCA">
      <w:pPr>
        <w:pStyle w:val="BodyText"/>
      </w:pPr>
      <w:r>
        <w:t xml:space="preserve">In the 2016 ESS, respondents were asked to what extent they agree with the statement that </w:t>
      </w:r>
      <w:r>
        <w:rPr>
          <w:i/>
          <w:iCs/>
        </w:rPr>
        <w:t xml:space="preserve">‘Large differences in people’s incomes are acceptable to properly reward differences in talents and </w:t>
      </w:r>
      <w:proofErr w:type="gramStart"/>
      <w:r>
        <w:rPr>
          <w:i/>
          <w:iCs/>
        </w:rPr>
        <w:t>efforts’</w:t>
      </w:r>
      <w:proofErr w:type="gramEnd"/>
      <w:r>
        <w:t xml:space="preserve">. </w:t>
      </w:r>
      <w:proofErr w:type="gramStart"/>
      <w:r>
        <w:t>The majority of</w:t>
      </w:r>
      <w:proofErr w:type="gramEnd"/>
      <w:r>
        <w:t xml:space="preserve"> participants (58%) either “agree” or “agree strongly” with the statement.</w:t>
      </w:r>
    </w:p>
    <w:p w14:paraId="000B2F9C" w14:textId="45EAA711" w:rsidR="002B0E5A" w:rsidRDefault="00823BCA">
      <w:pPr>
        <w:pStyle w:val="BodyText"/>
      </w:pPr>
      <w:r>
        <w:t xml:space="preserve">A multivariate analysis with the same explanatory variables from the model of the </w:t>
      </w:r>
      <w:hyperlink w:anchor="tbl-multiv-gincdif">
        <w:r>
          <w:rPr>
            <w:rStyle w:val="Hyperlink"/>
          </w:rPr>
          <w:t>Table 2.1</w:t>
        </w:r>
      </w:hyperlink>
      <w:r>
        <w:t xml:space="preserve"> suggests that gender and class are not statistically significant predictors of agreement. However, older respondents and those who identify more with the political right tend to agree more with this statement.</w:t>
      </w:r>
    </w:p>
    <w:p w14:paraId="000B2F9D" w14:textId="77777777" w:rsidR="002B0E5A" w:rsidRDefault="00823BCA">
      <w:pPr>
        <w:pStyle w:val="Heading2"/>
      </w:pPr>
      <w:bookmarkStart w:id="40" w:name="Xd328aa382c21e628fa77d9eaf8cfa17f26a2608"/>
      <w:bookmarkStart w:id="41" w:name="_Toc210752634"/>
      <w:bookmarkEnd w:id="38"/>
      <w:r>
        <w:t>3.2 The government should have more responsibility towards old citizens and working parents compared to the unemployed</w:t>
      </w:r>
      <w:bookmarkEnd w:id="41"/>
    </w:p>
    <w:p w14:paraId="000B2F9E" w14:textId="764B815C" w:rsidR="002B0E5A" w:rsidRDefault="00823BCA">
      <w:pPr>
        <w:pStyle w:val="FirstParagraph"/>
      </w:pPr>
      <w:r>
        <w:t>A crucial aspect of the sustainability of modern welfare states is the public support given to its policies. A vast literature in social sciences has addressed the social legitimacy of welfare policies that are targeted at specific groups (</w:t>
      </w:r>
      <w:hyperlink w:anchor="ref-van_oorschot_social_2017">
        <w:r>
          <w:rPr>
            <w:rStyle w:val="Hyperlink"/>
          </w:rPr>
          <w:t xml:space="preserve">Oorschot and </w:t>
        </w:r>
        <w:r>
          <w:rPr>
            <w:rStyle w:val="Hyperlink"/>
          </w:rPr>
          <w:lastRenderedPageBreak/>
          <w:t>Roosma 2017</w:t>
        </w:r>
      </w:hyperlink>
      <w:r>
        <w:t>), as they create contentious views on which social groups are more or less deserving of the State attention. In the ESS, respondents were asked to indicate how much responsibility governments should have to the following:</w:t>
      </w:r>
    </w:p>
    <w:p w14:paraId="000B2F9F" w14:textId="77777777" w:rsidR="002B0E5A" w:rsidRDefault="00823BCA">
      <w:pPr>
        <w:pStyle w:val="BodyText"/>
      </w:pPr>
      <w:r>
        <w:t>“… ensure sufficient childcare services for working parents”</w:t>
      </w:r>
    </w:p>
    <w:p w14:paraId="000B2FA0" w14:textId="77777777" w:rsidR="002B0E5A" w:rsidRDefault="00823BCA">
      <w:pPr>
        <w:pStyle w:val="BodyText"/>
      </w:pPr>
      <w:r>
        <w:t>“… ensure a reasonable standard of living for the old”</w:t>
      </w:r>
    </w:p>
    <w:p w14:paraId="000B2FA1" w14:textId="77777777" w:rsidR="002B0E5A" w:rsidRDefault="00823BCA">
      <w:pPr>
        <w:pStyle w:val="BodyText"/>
      </w:pPr>
      <w:r>
        <w:t>“…ensure a reasonable standard of living for the unemployed”</w:t>
      </w:r>
    </w:p>
    <w:p w14:paraId="000B2FA2" w14:textId="4CB3D471" w:rsidR="002B0E5A" w:rsidRDefault="00823BCA">
      <w:pPr>
        <w:pStyle w:val="BodyText"/>
      </w:pPr>
      <w:r>
        <w:t xml:space="preserve">In the </w:t>
      </w:r>
      <w:hyperlink w:anchor="fig-deservingness">
        <w:r>
          <w:rPr>
            <w:rStyle w:val="Hyperlink"/>
          </w:rPr>
          <w:t>Figure 3.1</w:t>
        </w:r>
      </w:hyperlink>
      <w:r>
        <w:t>, higher values denote higher government responsibility. On average, respondents from all countries (except The Netherlands) believe that the government should be least responsible for the unemployed compared to working parents and older citizens.</w:t>
      </w:r>
    </w:p>
    <w:tbl>
      <w:tblPr>
        <w:tblW w:w="5000" w:type="pct"/>
        <w:tblLayout w:type="fixed"/>
        <w:tblLook w:val="0000" w:firstRow="0" w:lastRow="0" w:firstColumn="0" w:lastColumn="0" w:noHBand="0" w:noVBand="0"/>
      </w:tblPr>
      <w:tblGrid>
        <w:gridCol w:w="9026"/>
      </w:tblGrid>
      <w:tr w:rsidR="002B0E5A" w14:paraId="000B2FA5" w14:textId="77777777">
        <w:tc>
          <w:tcPr>
            <w:tcW w:w="7920" w:type="dxa"/>
          </w:tcPr>
          <w:p w14:paraId="000B2FA3" w14:textId="77777777" w:rsidR="002B0E5A" w:rsidRDefault="00823BCA">
            <w:pPr>
              <w:pStyle w:val="ImageCaption"/>
              <w:spacing w:before="200"/>
              <w:jc w:val="left"/>
            </w:pPr>
            <w:bookmarkStart w:id="42" w:name="fig-deservingness"/>
            <w:r>
              <w:t>Figure 3.1: Mean values for deservingness of government support by group and country, 2016</w:t>
            </w:r>
          </w:p>
          <w:p w14:paraId="000B2FA4" w14:textId="77777777" w:rsidR="002B0E5A" w:rsidRDefault="00823BCA">
            <w:pPr>
              <w:jc w:val="center"/>
            </w:pPr>
            <w:r>
              <w:rPr>
                <w:noProof/>
              </w:rPr>
              <w:drawing>
                <wp:inline distT="0" distB="0" distL="0" distR="0" wp14:anchorId="000B3047" wp14:editId="000B3048">
                  <wp:extent cx="5727700" cy="4009389"/>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img/fig_deservingness.png"/>
                          <pic:cNvPicPr>
                            <a:picLocks noChangeAspect="1" noChangeArrowheads="1"/>
                          </pic:cNvPicPr>
                        </pic:nvPicPr>
                        <pic:blipFill>
                          <a:blip r:embed="rId13"/>
                          <a:stretch>
                            <a:fillRect/>
                          </a:stretch>
                        </pic:blipFill>
                        <pic:spPr bwMode="auto">
                          <a:xfrm>
                            <a:off x="0" y="0"/>
                            <a:ext cx="5727700" cy="4009389"/>
                          </a:xfrm>
                          <a:prstGeom prst="rect">
                            <a:avLst/>
                          </a:prstGeom>
                          <a:noFill/>
                          <a:ln w="9525">
                            <a:noFill/>
                            <a:headEnd/>
                            <a:tailEnd/>
                          </a:ln>
                        </pic:spPr>
                      </pic:pic>
                    </a:graphicData>
                  </a:graphic>
                </wp:inline>
              </w:drawing>
            </w:r>
          </w:p>
        </w:tc>
        <w:bookmarkEnd w:id="42"/>
      </w:tr>
    </w:tbl>
    <w:p w14:paraId="000B2FA6" w14:textId="77777777" w:rsidR="002B0E5A" w:rsidRDefault="00823BCA">
      <w:pPr>
        <w:pStyle w:val="BodyText"/>
      </w:pPr>
      <w:r>
        <w:t>In Ireland, a greater prioritisation of the older over the unemployed is found mainly among respondents who are female, in paid work, and with lower level of educational attainment.</w:t>
      </w:r>
    </w:p>
    <w:p w14:paraId="000B2FA7" w14:textId="77777777" w:rsidR="002B0E5A" w:rsidRDefault="00823BCA">
      <w:pPr>
        <w:pStyle w:val="Heading2"/>
      </w:pPr>
      <w:bookmarkStart w:id="43" w:name="X0b2fd02be326c10970e572141db0496f02cdc85"/>
      <w:bookmarkStart w:id="44" w:name="_Toc210752635"/>
      <w:bookmarkEnd w:id="40"/>
      <w:r>
        <w:lastRenderedPageBreak/>
        <w:t>3.3 The view that ‘Social benefits make people lazy’ is more prevalent in Ireland compared to the European average</w:t>
      </w:r>
      <w:bookmarkEnd w:id="44"/>
    </w:p>
    <w:p w14:paraId="000B2FA8" w14:textId="77777777" w:rsidR="002B0E5A" w:rsidRDefault="00823BCA">
      <w:pPr>
        <w:pStyle w:val="FirstParagraph"/>
      </w:pPr>
      <w:r>
        <w:t>The module also included questions in relation to beliefs about the consequences of social benefits and services:</w:t>
      </w:r>
    </w:p>
    <w:tbl>
      <w:tblPr>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91"/>
      </w:tblGrid>
      <w:tr w:rsidR="002B0E5A" w14:paraId="000B2FAA" w14:textId="77777777">
        <w:trPr>
          <w:cantSplit/>
        </w:trPr>
        <w:tc>
          <w:tcPr>
            <w:tcW w:w="0" w:type="auto"/>
            <w:shd w:val="clear" w:color="auto" w:fill="DAE6FB"/>
            <w:tcMar>
              <w:top w:w="92" w:type="dxa"/>
              <w:bottom w:w="92" w:type="dxa"/>
            </w:tcMar>
          </w:tcPr>
          <w:p w14:paraId="000B2FA9" w14:textId="77777777" w:rsidR="002B0E5A" w:rsidRDefault="00823BCA">
            <w:pPr>
              <w:pStyle w:val="BodyText"/>
              <w:spacing w:after="0"/>
              <w:textAlignment w:val="center"/>
            </w:pPr>
            <w:r>
              <w:rPr>
                <w:noProof/>
              </w:rPr>
              <w:drawing>
                <wp:inline distT="0" distB="0" distL="0" distR="0" wp14:anchorId="000B3049" wp14:editId="000B304A">
                  <wp:extent cx="152400" cy="15240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C:\Users\daniel.capistrano\AppData\Local\Programs\Quarto\share\formats\docx\note.png"/>
                          <pic:cNvPicPr>
                            <a:picLocks noChangeAspect="1" noChangeArrowheads="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Question wording</w:t>
            </w:r>
          </w:p>
        </w:tc>
      </w:tr>
      <w:tr w:rsidR="002B0E5A" w14:paraId="000B2FB2" w14:textId="77777777">
        <w:trPr>
          <w:cantSplit/>
        </w:trPr>
        <w:tc>
          <w:tcPr>
            <w:tcW w:w="0" w:type="auto"/>
            <w:tcMar>
              <w:top w:w="108" w:type="dxa"/>
              <w:bottom w:w="108" w:type="dxa"/>
            </w:tcMar>
          </w:tcPr>
          <w:p w14:paraId="000B2FAB" w14:textId="77777777" w:rsidR="002B0E5A" w:rsidRDefault="00823BCA">
            <w:pPr>
              <w:pStyle w:val="BodyText"/>
              <w:spacing w:before="16"/>
            </w:pPr>
            <w:r>
              <w:t>Using this card please tell me to what extent you agree or disagree that social benefits and services in [country]…</w:t>
            </w:r>
          </w:p>
          <w:p w14:paraId="000B2FAC" w14:textId="77777777" w:rsidR="002B0E5A" w:rsidRDefault="00823BCA">
            <w:pPr>
              <w:pStyle w:val="BodyText"/>
            </w:pPr>
            <w:r>
              <w:t>“…cost businesses too much in taxes/charges?”</w:t>
            </w:r>
          </w:p>
          <w:p w14:paraId="000B2FAD" w14:textId="77777777" w:rsidR="002B0E5A" w:rsidRDefault="00823BCA">
            <w:pPr>
              <w:pStyle w:val="BodyText"/>
            </w:pPr>
            <w:r>
              <w:t>“…lead to a more equal society?”</w:t>
            </w:r>
          </w:p>
          <w:p w14:paraId="000B2FAE" w14:textId="77777777" w:rsidR="002B0E5A" w:rsidRDefault="00823BCA">
            <w:pPr>
              <w:pStyle w:val="BodyText"/>
            </w:pPr>
            <w:r>
              <w:t>“… make people lazy?”</w:t>
            </w:r>
          </w:p>
          <w:p w14:paraId="000B2FAF" w14:textId="77777777" w:rsidR="002B0E5A" w:rsidRDefault="00823BCA">
            <w:pPr>
              <w:pStyle w:val="BodyText"/>
            </w:pPr>
            <w:r>
              <w:t>“…make people less willing care for one another?”</w:t>
            </w:r>
          </w:p>
          <w:p w14:paraId="000B2FB0" w14:textId="77777777" w:rsidR="002B0E5A" w:rsidRDefault="00823BCA">
            <w:pPr>
              <w:pStyle w:val="BodyText"/>
            </w:pPr>
            <w:r>
              <w:t>“…prevent widespread poverty”</w:t>
            </w:r>
          </w:p>
          <w:p w14:paraId="000B2FB1" w14:textId="77777777" w:rsidR="002B0E5A" w:rsidRDefault="00823BCA">
            <w:pPr>
              <w:pStyle w:val="BodyText"/>
              <w:spacing w:after="16"/>
            </w:pPr>
            <w:r>
              <w:t>“…place too great strain on economy”</w:t>
            </w:r>
          </w:p>
        </w:tc>
      </w:tr>
    </w:tbl>
    <w:p w14:paraId="000B2FB3" w14:textId="076F0F23" w:rsidR="002B0E5A" w:rsidRDefault="00823BCA">
      <w:pPr>
        <w:pStyle w:val="BodyText"/>
      </w:pPr>
      <w:r>
        <w:t xml:space="preserve">The average level of agreement with these statements reduced slightly comparing 2008 and 2016, but the ranking of agreement among the remains the same, as shown in </w:t>
      </w:r>
      <w:hyperlink w:anchor="fig-benefits">
        <w:r>
          <w:rPr>
            <w:rStyle w:val="Hyperlink"/>
          </w:rPr>
          <w:t>Figure 3.2</w:t>
        </w:r>
      </w:hyperlink>
      <w:r>
        <w:t>. The exception is the average agreement with “social benefits lead to a more equal society”, which observed a minor increase and surpassed the average agreement with “put strain in the economy” and “cost business too much in taxes”.</w:t>
      </w:r>
    </w:p>
    <w:tbl>
      <w:tblPr>
        <w:tblW w:w="5000" w:type="pct"/>
        <w:tblLayout w:type="fixed"/>
        <w:tblLook w:val="0000" w:firstRow="0" w:lastRow="0" w:firstColumn="0" w:lastColumn="0" w:noHBand="0" w:noVBand="0"/>
      </w:tblPr>
      <w:tblGrid>
        <w:gridCol w:w="9026"/>
      </w:tblGrid>
      <w:tr w:rsidR="002B0E5A" w14:paraId="000B2FB6" w14:textId="77777777">
        <w:tc>
          <w:tcPr>
            <w:tcW w:w="7920" w:type="dxa"/>
          </w:tcPr>
          <w:p w14:paraId="000B2FB4" w14:textId="77777777" w:rsidR="002B0E5A" w:rsidRDefault="00823BCA">
            <w:pPr>
              <w:pStyle w:val="ImageCaption"/>
              <w:spacing w:before="200"/>
              <w:jc w:val="left"/>
            </w:pPr>
            <w:bookmarkStart w:id="45" w:name="fig-benefits"/>
            <w:r>
              <w:lastRenderedPageBreak/>
              <w:t>Figure 3.2: Proportion of respondents who agree with statements about social benefits, Ireland, 2009/2016</w:t>
            </w:r>
          </w:p>
          <w:p w14:paraId="000B2FB5" w14:textId="77777777" w:rsidR="002B0E5A" w:rsidRDefault="00823BCA">
            <w:pPr>
              <w:jc w:val="center"/>
            </w:pPr>
            <w:r>
              <w:rPr>
                <w:noProof/>
              </w:rPr>
              <w:drawing>
                <wp:inline distT="0" distB="0" distL="0" distR="0" wp14:anchorId="000B304B" wp14:editId="000B304C">
                  <wp:extent cx="5727700" cy="2863850"/>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img/fig_benefits.png"/>
                          <pic:cNvPicPr>
                            <a:picLocks noChangeAspect="1" noChangeArrowheads="1"/>
                          </pic:cNvPicPr>
                        </pic:nvPicPr>
                        <pic:blipFill>
                          <a:blip r:embed="rId15"/>
                          <a:stretch>
                            <a:fillRect/>
                          </a:stretch>
                        </pic:blipFill>
                        <pic:spPr bwMode="auto">
                          <a:xfrm>
                            <a:off x="0" y="0"/>
                            <a:ext cx="5727700" cy="2863850"/>
                          </a:xfrm>
                          <a:prstGeom prst="rect">
                            <a:avLst/>
                          </a:prstGeom>
                          <a:noFill/>
                          <a:ln w="9525">
                            <a:noFill/>
                            <a:headEnd/>
                            <a:tailEnd/>
                          </a:ln>
                        </pic:spPr>
                      </pic:pic>
                    </a:graphicData>
                  </a:graphic>
                </wp:inline>
              </w:drawing>
            </w:r>
          </w:p>
        </w:tc>
        <w:bookmarkEnd w:id="45"/>
      </w:tr>
    </w:tbl>
    <w:p w14:paraId="000B2FB7" w14:textId="1E918892" w:rsidR="002B0E5A" w:rsidRDefault="00823BCA">
      <w:pPr>
        <w:pStyle w:val="BodyText"/>
      </w:pPr>
      <w:r>
        <w:t xml:space="preserve">Despite the reduction from 2009 to 2016, as shown in </w:t>
      </w:r>
      <w:hyperlink w:anchor="fig-lazy">
        <w:r>
          <w:rPr>
            <w:rStyle w:val="Hyperlink"/>
          </w:rPr>
          <w:t>Figure 3.3</w:t>
        </w:r>
      </w:hyperlink>
      <w:r>
        <w:t>, Ireland (58%) had the third highest proportion of respondents agreeing that “social benefits make people lazy”, behind Portugal (63%) and Poland (60%). This proportion is significantly lower in countries such as Iceland (24%), Sweden (35%), and Germany (43%). Finally, as expected those who believe that “social benefits make people lazy” are also less likely to support income redistribution.</w:t>
      </w:r>
    </w:p>
    <w:tbl>
      <w:tblPr>
        <w:tblW w:w="5000" w:type="pct"/>
        <w:tblLayout w:type="fixed"/>
        <w:tblLook w:val="0000" w:firstRow="0" w:lastRow="0" w:firstColumn="0" w:lastColumn="0" w:noHBand="0" w:noVBand="0"/>
      </w:tblPr>
      <w:tblGrid>
        <w:gridCol w:w="9026"/>
      </w:tblGrid>
      <w:tr w:rsidR="002B0E5A" w14:paraId="000B2FBA" w14:textId="77777777">
        <w:tc>
          <w:tcPr>
            <w:tcW w:w="7920" w:type="dxa"/>
          </w:tcPr>
          <w:p w14:paraId="000B2FB8" w14:textId="77777777" w:rsidR="002B0E5A" w:rsidRDefault="00823BCA">
            <w:pPr>
              <w:pStyle w:val="ImageCaption"/>
              <w:spacing w:before="200"/>
              <w:jc w:val="left"/>
            </w:pPr>
            <w:bookmarkStart w:id="46" w:name="fig-lazy"/>
            <w:r>
              <w:lastRenderedPageBreak/>
              <w:t>Figure 3.3: Proportion of agreement that social benefits make people lazy, Europe, 2009/2016</w:t>
            </w:r>
          </w:p>
          <w:p w14:paraId="000B2FB9" w14:textId="77777777" w:rsidR="002B0E5A" w:rsidRDefault="00823BCA">
            <w:pPr>
              <w:jc w:val="center"/>
            </w:pPr>
            <w:r>
              <w:rPr>
                <w:noProof/>
              </w:rPr>
              <w:drawing>
                <wp:inline distT="0" distB="0" distL="0" distR="0" wp14:anchorId="000B304D" wp14:editId="000B304E">
                  <wp:extent cx="4586332" cy="3669065"/>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img/fig_lazy.png"/>
                          <pic:cNvPicPr>
                            <a:picLocks noChangeAspect="1" noChangeArrowheads="1"/>
                          </pic:cNvPicPr>
                        </pic:nvPicPr>
                        <pic:blipFill>
                          <a:blip r:embed="rId16"/>
                          <a:stretch>
                            <a:fillRect/>
                          </a:stretch>
                        </pic:blipFill>
                        <pic:spPr bwMode="auto">
                          <a:xfrm>
                            <a:off x="0" y="0"/>
                            <a:ext cx="4586332" cy="3669065"/>
                          </a:xfrm>
                          <a:prstGeom prst="rect">
                            <a:avLst/>
                          </a:prstGeom>
                          <a:noFill/>
                          <a:ln w="9525">
                            <a:noFill/>
                            <a:headEnd/>
                            <a:tailEnd/>
                          </a:ln>
                        </pic:spPr>
                      </pic:pic>
                    </a:graphicData>
                  </a:graphic>
                </wp:inline>
              </w:drawing>
            </w:r>
          </w:p>
        </w:tc>
        <w:bookmarkEnd w:id="46"/>
      </w:tr>
    </w:tbl>
    <w:p w14:paraId="000B2FBB" w14:textId="77777777" w:rsidR="002B0E5A" w:rsidRDefault="00823BCA">
      <w:pPr>
        <w:pStyle w:val="Heading2"/>
      </w:pPr>
      <w:bookmarkStart w:id="47" w:name="X67b00d8cdddb804d04cb254784b093a4fbe7817"/>
      <w:bookmarkStart w:id="48" w:name="_Toc210752636"/>
      <w:bookmarkEnd w:id="43"/>
      <w:r>
        <w:t>3.4 Compared to male respondents, female respondents are less likely to agree that social benefits lead to equality</w:t>
      </w:r>
      <w:bookmarkEnd w:id="48"/>
    </w:p>
    <w:p w14:paraId="000B2FBC" w14:textId="06565776" w:rsidR="002B0E5A" w:rsidRDefault="00823BCA">
      <w:pPr>
        <w:pStyle w:val="FirstParagraph"/>
      </w:pPr>
      <w:hyperlink w:anchor="tbl-multiv-beliefs">
        <w:r>
          <w:rPr>
            <w:rStyle w:val="Hyperlink"/>
          </w:rPr>
          <w:t>Table 3.1</w:t>
        </w:r>
      </w:hyperlink>
      <w:r>
        <w:t xml:space="preserve"> below shows logistic regression models for two selected dimensions of beliefs about social benefits. The first model, on social benefits as promoters of equality, no significant differences were found across groups in main variables such as age and social class. However, the model indicates that female respondents are more likely to disagree with the equality outcome compared to male respondents. Another significant difference was found in the ‘financial situation’ variable, with those who are coping on pr</w:t>
      </w:r>
      <w:r>
        <w:t>esent income being less likely to agree with the equality statement compared to those living comfortably. Those in worse subjective financial situation (‘very difficult on present income’) have higher likelihood of agreeing although this difference is not statistically significant.</w:t>
      </w:r>
    </w:p>
    <w:tbl>
      <w:tblPr>
        <w:tblW w:w="5000" w:type="pct"/>
        <w:tblLayout w:type="fixed"/>
        <w:tblLook w:val="0000" w:firstRow="0" w:lastRow="0" w:firstColumn="0" w:lastColumn="0" w:noHBand="0" w:noVBand="0"/>
      </w:tblPr>
      <w:tblGrid>
        <w:gridCol w:w="9026"/>
      </w:tblGrid>
      <w:tr w:rsidR="002B0E5A" w14:paraId="000B2FBF" w14:textId="77777777">
        <w:tc>
          <w:tcPr>
            <w:tcW w:w="7920" w:type="dxa"/>
          </w:tcPr>
          <w:p w14:paraId="000B2FBD" w14:textId="77777777" w:rsidR="002B0E5A" w:rsidRDefault="00823BCA">
            <w:pPr>
              <w:pStyle w:val="ImageCaption"/>
              <w:spacing w:before="200"/>
              <w:jc w:val="left"/>
            </w:pPr>
            <w:bookmarkStart w:id="49" w:name="tbl-multiv-beliefs"/>
            <w:r>
              <w:lastRenderedPageBreak/>
              <w:t>Table 3.1: Logistic regression estimates for agreement on statements about ‘social benefits’, Ireland, 2016</w:t>
            </w:r>
          </w:p>
          <w:p w14:paraId="000B2FBE" w14:textId="77777777" w:rsidR="002B0E5A" w:rsidRDefault="00823BCA">
            <w:pPr>
              <w:jc w:val="center"/>
            </w:pPr>
            <w:r>
              <w:rPr>
                <w:noProof/>
              </w:rPr>
              <w:drawing>
                <wp:inline distT="0" distB="0" distL="0" distR="0" wp14:anchorId="000B304F" wp14:editId="000B3050">
                  <wp:extent cx="5727700" cy="630941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g/tbl_multiv_beliefs.png"/>
                          <pic:cNvPicPr>
                            <a:picLocks noChangeAspect="1" noChangeArrowheads="1"/>
                          </pic:cNvPicPr>
                        </pic:nvPicPr>
                        <pic:blipFill>
                          <a:blip r:embed="rId17"/>
                          <a:stretch>
                            <a:fillRect/>
                          </a:stretch>
                        </pic:blipFill>
                        <pic:spPr bwMode="auto">
                          <a:xfrm>
                            <a:off x="0" y="0"/>
                            <a:ext cx="5727700" cy="6309419"/>
                          </a:xfrm>
                          <a:prstGeom prst="rect">
                            <a:avLst/>
                          </a:prstGeom>
                          <a:noFill/>
                          <a:ln w="9525">
                            <a:noFill/>
                            <a:headEnd/>
                            <a:tailEnd/>
                          </a:ln>
                        </pic:spPr>
                      </pic:pic>
                    </a:graphicData>
                  </a:graphic>
                </wp:inline>
              </w:drawing>
            </w:r>
          </w:p>
        </w:tc>
        <w:bookmarkEnd w:id="49"/>
      </w:tr>
    </w:tbl>
    <w:p w14:paraId="000B2FC0" w14:textId="77777777" w:rsidR="002B0E5A" w:rsidRDefault="00823BCA">
      <w:pPr>
        <w:pStyle w:val="Heading2"/>
      </w:pPr>
      <w:bookmarkStart w:id="50" w:name="Xa595066d3e4198fdc61757e44206370bca52f45"/>
      <w:bookmarkStart w:id="51" w:name="_Toc210752637"/>
      <w:bookmarkEnd w:id="47"/>
      <w:r>
        <w:t>3.5 Older, right-wing, and those with lower educational attainment are more likely to agree that social benefits make people lazy</w:t>
      </w:r>
      <w:bookmarkEnd w:id="51"/>
    </w:p>
    <w:p w14:paraId="000B2FC1" w14:textId="16A12292" w:rsidR="002B0E5A" w:rsidRDefault="00823BCA">
      <w:pPr>
        <w:pStyle w:val="FirstParagraph"/>
      </w:pPr>
      <w:r>
        <w:t xml:space="preserve">The second model on </w:t>
      </w:r>
      <w:hyperlink w:anchor="tbl-multiv-beliefs">
        <w:r>
          <w:rPr>
            <w:rStyle w:val="Hyperlink"/>
          </w:rPr>
          <w:t>Table 3.1</w:t>
        </w:r>
      </w:hyperlink>
      <w:r>
        <w:t xml:space="preserve"> provides a different picture in relation to beliefs on social benefits resulting in </w:t>
      </w:r>
      <w:proofErr w:type="spellStart"/>
      <w:r>
        <w:t>lazyness</w:t>
      </w:r>
      <w:proofErr w:type="spellEnd"/>
      <w:r>
        <w:t xml:space="preserve">. Respondents in the 18-24 age group are more inclined to agree with this statement compared to all older age groups. In addition, those who place themselves more to the right of the left-right ideological scale and </w:t>
      </w:r>
      <w:r>
        <w:lastRenderedPageBreak/>
        <w:t>those with lower educational attainment tend to agree with this statement that social benefits make people lazy.</w:t>
      </w:r>
    </w:p>
    <w:p w14:paraId="000B2FC2" w14:textId="77777777" w:rsidR="002B0E5A" w:rsidRDefault="00823BCA">
      <w:pPr>
        <w:pStyle w:val="Heading2"/>
      </w:pPr>
      <w:bookmarkStart w:id="52" w:name="X9ab5f16fee05cf765d2c0fafde191459ec316e9"/>
      <w:bookmarkStart w:id="53" w:name="_Toc210752638"/>
      <w:bookmarkEnd w:id="50"/>
      <w:r>
        <w:t>3.6 Most respondents indicate that immigrants could receive social benefits after having worked and paid taxes for at least one year</w:t>
      </w:r>
      <w:bookmarkEnd w:id="53"/>
    </w:p>
    <w:p w14:paraId="000B2FC3" w14:textId="77777777" w:rsidR="002B0E5A" w:rsidRDefault="00823BCA">
      <w:pPr>
        <w:pStyle w:val="FirstParagraph"/>
      </w:pPr>
      <w:r>
        <w:t>Overall, data from 2016 indicates that about half of respondents in Ireland believe that immigrants should obtain rights to social benefits/services “After worked and paid taxes at least a year”. The other options that received most answers were “Once they have become a citizen” (19%) and “After a year, whether or not have worked” (16%).</w:t>
      </w:r>
    </w:p>
    <w:p w14:paraId="000B2FC4" w14:textId="3079F8CF" w:rsidR="002B0E5A" w:rsidRDefault="00823BCA">
      <w:pPr>
        <w:pStyle w:val="BodyText"/>
      </w:pPr>
      <w:r>
        <w:t xml:space="preserve">As shown in </w:t>
      </w:r>
      <w:hyperlink w:anchor="fig-immig">
        <w:r>
          <w:rPr>
            <w:rStyle w:val="Hyperlink"/>
          </w:rPr>
          <w:t>Figure 3.4</w:t>
        </w:r>
      </w:hyperlink>
      <w:r>
        <w:t>, only 5% in 2016 indicated that “They should never get the same rights”. This proportion is significantly higher in countries such as Hungary (30%) and Czechia (24%). In Ireland, this proportion is also higher for those in worse financial situation (19%) and among those who are unemployed and not looking for job (18%).</w:t>
      </w:r>
    </w:p>
    <w:tbl>
      <w:tblPr>
        <w:tblW w:w="5000" w:type="pct"/>
        <w:tblLayout w:type="fixed"/>
        <w:tblLook w:val="0000" w:firstRow="0" w:lastRow="0" w:firstColumn="0" w:lastColumn="0" w:noHBand="0" w:noVBand="0"/>
      </w:tblPr>
      <w:tblGrid>
        <w:gridCol w:w="9026"/>
      </w:tblGrid>
      <w:tr w:rsidR="002B0E5A" w14:paraId="000B2FC7" w14:textId="77777777">
        <w:tc>
          <w:tcPr>
            <w:tcW w:w="7920" w:type="dxa"/>
          </w:tcPr>
          <w:p w14:paraId="000B2FC5" w14:textId="77777777" w:rsidR="002B0E5A" w:rsidRDefault="00823BCA">
            <w:pPr>
              <w:pStyle w:val="ImageCaption"/>
              <w:spacing w:before="200"/>
              <w:jc w:val="left"/>
            </w:pPr>
            <w:bookmarkStart w:id="54" w:name="fig-immig"/>
            <w:r>
              <w:t>Figure 3.4: Distribution for ‘When should immigrants obtain rights to social benefits/services’, Ireland, 2016</w:t>
            </w:r>
          </w:p>
          <w:p w14:paraId="000B2FC6" w14:textId="77777777" w:rsidR="002B0E5A" w:rsidRDefault="00823BCA">
            <w:pPr>
              <w:jc w:val="center"/>
            </w:pPr>
            <w:r>
              <w:rPr>
                <w:noProof/>
              </w:rPr>
              <w:drawing>
                <wp:inline distT="0" distB="0" distL="0" distR="0" wp14:anchorId="000B3051" wp14:editId="000B3052">
                  <wp:extent cx="5727700" cy="286385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img/fig_immig.png"/>
                          <pic:cNvPicPr>
                            <a:picLocks noChangeAspect="1" noChangeArrowheads="1"/>
                          </pic:cNvPicPr>
                        </pic:nvPicPr>
                        <pic:blipFill>
                          <a:blip r:embed="rId18"/>
                          <a:stretch>
                            <a:fillRect/>
                          </a:stretch>
                        </pic:blipFill>
                        <pic:spPr bwMode="auto">
                          <a:xfrm>
                            <a:off x="0" y="0"/>
                            <a:ext cx="5727700" cy="2863850"/>
                          </a:xfrm>
                          <a:prstGeom prst="rect">
                            <a:avLst/>
                          </a:prstGeom>
                          <a:noFill/>
                          <a:ln w="9525">
                            <a:noFill/>
                            <a:headEnd/>
                            <a:tailEnd/>
                          </a:ln>
                        </pic:spPr>
                      </pic:pic>
                    </a:graphicData>
                  </a:graphic>
                </wp:inline>
              </w:drawing>
            </w:r>
          </w:p>
        </w:tc>
        <w:bookmarkEnd w:id="54"/>
      </w:tr>
    </w:tbl>
    <w:p w14:paraId="000B2FC8" w14:textId="77777777" w:rsidR="002B0E5A" w:rsidRDefault="00823BCA">
      <w:pPr>
        <w:pStyle w:val="Heading2"/>
      </w:pPr>
      <w:bookmarkStart w:id="55" w:name="X1d29ca44a5c43e6cb31b444b1b17af6927c5c35"/>
      <w:bookmarkStart w:id="56" w:name="_Toc210752639"/>
      <w:bookmarkEnd w:id="52"/>
      <w:r>
        <w:t>3.7 Unfairly low wages are more relevant than unfairly high wage for support for redistribution</w:t>
      </w:r>
      <w:bookmarkEnd w:id="56"/>
    </w:p>
    <w:p w14:paraId="000B2FC9" w14:textId="1EBDC5C9" w:rsidR="002B0E5A" w:rsidRDefault="00823BCA">
      <w:pPr>
        <w:pStyle w:val="FirstParagraph"/>
      </w:pPr>
      <w:r>
        <w:t xml:space="preserve">As argued by </w:t>
      </w:r>
      <w:proofErr w:type="spellStart"/>
      <w:r>
        <w:t>Cavaillé</w:t>
      </w:r>
      <w:proofErr w:type="spellEnd"/>
      <w:r>
        <w:t xml:space="preserve"> (</w:t>
      </w:r>
      <w:hyperlink w:anchor="ref-cavaille_fair_2025">
        <w:r>
          <w:rPr>
            <w:rStyle w:val="Hyperlink"/>
          </w:rPr>
          <w:t>2025</w:t>
        </w:r>
      </w:hyperlink>
      <w:r>
        <w:t xml:space="preserve">), support for redistribution is also dependent on people’s perceptions of fairness. One might be more supportive of redistribution if they perceive that the richest in society earn too much (proportionality principle). </w:t>
      </w:r>
      <w:r>
        <w:lastRenderedPageBreak/>
        <w:t>At the same time, redistribution might be preferred if the poorest are receiving too little (reciprocity principle). In a special module conducted in 2018, the ESS asked respondents to assess how fair are the incomes received by the top and bottom deciles of the country’s income distribution</w:t>
      </w:r>
      <w:r>
        <w:t xml:space="preserve"> as well as their own gross income. The scale goes from -4 (Low, extremely unfair), through 0 (Fair), to 4 (High, extremely unfair).</w:t>
      </w:r>
    </w:p>
    <w:p w14:paraId="000B2FCA" w14:textId="564B6490" w:rsidR="002B0E5A" w:rsidRDefault="00823BCA">
      <w:pPr>
        <w:pStyle w:val="BodyText"/>
      </w:pPr>
      <w:hyperlink w:anchor="fig-fairness">
        <w:r>
          <w:rPr>
            <w:rStyle w:val="Hyperlink"/>
          </w:rPr>
          <w:t>Figure 3.5</w:t>
        </w:r>
      </w:hyperlink>
      <w:r>
        <w:t xml:space="preserve"> below shows the odds-ratio of these variables added to the model described in </w:t>
      </w:r>
      <w:hyperlink w:anchor="tbl-multiv-gincdif">
        <w:r>
          <w:rPr>
            <w:rStyle w:val="Hyperlink"/>
          </w:rPr>
          <w:t>Table 2.1</w:t>
        </w:r>
      </w:hyperlink>
      <w:r>
        <w:t xml:space="preserve">. For most countries, the more unfairly </w:t>
      </w:r>
      <w:proofErr w:type="gramStart"/>
      <w:r>
        <w:t>high top</w:t>
      </w:r>
      <w:proofErr w:type="gramEnd"/>
      <w:r>
        <w:t xml:space="preserve"> earners are perceived the higher the odds of supporting redistribution. This relationship is particularly strong in Norway and France, for instance. On the other hand, the more unfairly low bottom earnings are perceived, the lower the odds of supporting redistribution. This association is particularly </w:t>
      </w:r>
      <w:proofErr w:type="spellStart"/>
      <w:r>
        <w:t>string</w:t>
      </w:r>
      <w:proofErr w:type="spellEnd"/>
      <w:r>
        <w:t xml:space="preserve"> in Finland and France. In Ireland, both variables have weaker nonetheless </w:t>
      </w:r>
      <w:proofErr w:type="spellStart"/>
      <w:r>
        <w:t>signidficant</w:t>
      </w:r>
      <w:proofErr w:type="spellEnd"/>
      <w:r>
        <w:t xml:space="preserve"> effects. Across all countries respondents’ perceptions of fairness</w:t>
      </w:r>
      <w:r>
        <w:t xml:space="preserve"> of their own incomes is not a significant predictor of support for redistribution.</w:t>
      </w:r>
    </w:p>
    <w:tbl>
      <w:tblPr>
        <w:tblW w:w="5000" w:type="pct"/>
        <w:tblLayout w:type="fixed"/>
        <w:tblLook w:val="0000" w:firstRow="0" w:lastRow="0" w:firstColumn="0" w:lastColumn="0" w:noHBand="0" w:noVBand="0"/>
      </w:tblPr>
      <w:tblGrid>
        <w:gridCol w:w="9026"/>
      </w:tblGrid>
      <w:tr w:rsidR="002B0E5A" w14:paraId="000B2FCD" w14:textId="77777777">
        <w:tc>
          <w:tcPr>
            <w:tcW w:w="7920" w:type="dxa"/>
          </w:tcPr>
          <w:p w14:paraId="000B2FCB" w14:textId="77777777" w:rsidR="002B0E5A" w:rsidRDefault="00823BCA">
            <w:pPr>
              <w:pStyle w:val="ImageCaption"/>
              <w:spacing w:before="200"/>
              <w:jc w:val="left"/>
            </w:pPr>
            <w:bookmarkStart w:id="57" w:name="fig-fairness"/>
            <w:r>
              <w:t>Figure 3.5: Effect (odds-ratio) of perception of ‘fairness of income’ on ‘support for redistribution’, 2018</w:t>
            </w:r>
          </w:p>
          <w:p w14:paraId="000B2FCC" w14:textId="77777777" w:rsidR="002B0E5A" w:rsidRDefault="00823BCA">
            <w:pPr>
              <w:jc w:val="center"/>
            </w:pPr>
            <w:r>
              <w:rPr>
                <w:noProof/>
              </w:rPr>
              <w:drawing>
                <wp:inline distT="0" distB="0" distL="0" distR="0" wp14:anchorId="000B3053" wp14:editId="000B3054">
                  <wp:extent cx="5727700" cy="3818466"/>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img/fig_fairness.png"/>
                          <pic:cNvPicPr>
                            <a:picLocks noChangeAspect="1" noChangeArrowheads="1"/>
                          </pic:cNvPicPr>
                        </pic:nvPicPr>
                        <pic:blipFill>
                          <a:blip r:embed="rId19"/>
                          <a:stretch>
                            <a:fillRect/>
                          </a:stretch>
                        </pic:blipFill>
                        <pic:spPr bwMode="auto">
                          <a:xfrm>
                            <a:off x="0" y="0"/>
                            <a:ext cx="5727700" cy="3818466"/>
                          </a:xfrm>
                          <a:prstGeom prst="rect">
                            <a:avLst/>
                          </a:prstGeom>
                          <a:noFill/>
                          <a:ln w="9525">
                            <a:noFill/>
                            <a:headEnd/>
                            <a:tailEnd/>
                          </a:ln>
                        </pic:spPr>
                      </pic:pic>
                    </a:graphicData>
                  </a:graphic>
                </wp:inline>
              </w:drawing>
            </w:r>
          </w:p>
        </w:tc>
        <w:bookmarkEnd w:id="57"/>
      </w:tr>
    </w:tbl>
    <w:p w14:paraId="000B2FCE" w14:textId="77777777" w:rsidR="002B0E5A" w:rsidRDefault="00823BCA">
      <w:pPr>
        <w:pStyle w:val="Heading1"/>
      </w:pPr>
      <w:bookmarkStart w:id="58" w:name="sec-change"/>
      <w:bookmarkStart w:id="59" w:name="_Toc210752640"/>
      <w:bookmarkEnd w:id="55"/>
      <w:bookmarkEnd w:id="36"/>
      <w:r>
        <w:t>4. Has the support changed over time?</w:t>
      </w:r>
      <w:bookmarkEnd w:id="59"/>
    </w:p>
    <w:p w14:paraId="000B2FCF" w14:textId="1B8EC595" w:rsidR="002B0E5A" w:rsidRDefault="00823BCA">
      <w:pPr>
        <w:pStyle w:val="FirstParagraph"/>
      </w:pPr>
      <w:r>
        <w:t xml:space="preserve">The </w:t>
      </w:r>
      <w:hyperlink w:anchor="fig-eu-time">
        <w:r>
          <w:rPr>
            <w:rStyle w:val="Hyperlink"/>
          </w:rPr>
          <w:t>Figure 4.1</w:t>
        </w:r>
      </w:hyperlink>
      <w:r>
        <w:t xml:space="preserve"> below shows the proportion of respondents in Ireland and other countries who agree that ‘Government should reduce income differences’ by year of the start of the survey. </w:t>
      </w:r>
      <w:proofErr w:type="gramStart"/>
      <w:r>
        <w:t>Overall</w:t>
      </w:r>
      <w:proofErr w:type="gramEnd"/>
      <w:r>
        <w:t xml:space="preserve"> there is a stable agreement (</w:t>
      </w:r>
      <w:proofErr w:type="gramStart"/>
      <w:r>
        <w:t>70)%</w:t>
      </w:r>
      <w:proofErr w:type="gramEnd"/>
      <w:r>
        <w:t xml:space="preserve">. Rounds 5 to 7 </w:t>
      </w:r>
      <w:r>
        <w:lastRenderedPageBreak/>
        <w:t xml:space="preserve">(2009-2012) as well as 10-11(2022-2024) show a slightly higher agreement compared to other rounds and the European average. This overall trajectory in Ireland is </w:t>
      </w:r>
      <w:proofErr w:type="gramStart"/>
      <w:r>
        <w:t>similar to</w:t>
      </w:r>
      <w:proofErr w:type="gramEnd"/>
      <w:r>
        <w:t xml:space="preserve"> Portugal and differs substantially from the British and Dutch trajectories. The increase during the years of ec</w:t>
      </w:r>
      <w:r>
        <w:t>onomic recession (when both Ireland and Portugal were severely affected) suggests a relationship between macro-economic indicators and support for redistribution.</w:t>
      </w:r>
    </w:p>
    <w:tbl>
      <w:tblPr>
        <w:tblW w:w="5000" w:type="pct"/>
        <w:tblLayout w:type="fixed"/>
        <w:tblLook w:val="0000" w:firstRow="0" w:lastRow="0" w:firstColumn="0" w:lastColumn="0" w:noHBand="0" w:noVBand="0"/>
      </w:tblPr>
      <w:tblGrid>
        <w:gridCol w:w="9026"/>
      </w:tblGrid>
      <w:tr w:rsidR="002B0E5A" w14:paraId="000B2FD2" w14:textId="77777777">
        <w:tc>
          <w:tcPr>
            <w:tcW w:w="7920" w:type="dxa"/>
          </w:tcPr>
          <w:p w14:paraId="000B2FD0" w14:textId="77777777" w:rsidR="002B0E5A" w:rsidRDefault="00823BCA">
            <w:pPr>
              <w:pStyle w:val="ImageCaption"/>
              <w:spacing w:before="200"/>
              <w:jc w:val="left"/>
            </w:pPr>
            <w:bookmarkStart w:id="60" w:name="fig-eu-time"/>
            <w:r>
              <w:t>Figure 4.1: Proportion agreeing that the ‘Government should reduce income differences’ by year, 2002-2024</w:t>
            </w:r>
          </w:p>
          <w:p w14:paraId="000B2FD1" w14:textId="77777777" w:rsidR="002B0E5A" w:rsidRDefault="00823BCA">
            <w:pPr>
              <w:jc w:val="center"/>
            </w:pPr>
            <w:r>
              <w:rPr>
                <w:noProof/>
              </w:rPr>
              <w:drawing>
                <wp:inline distT="0" distB="0" distL="0" distR="0" wp14:anchorId="000B3055" wp14:editId="000B3056">
                  <wp:extent cx="5727700" cy="4091214"/>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img/fig_eutime.png"/>
                          <pic:cNvPicPr>
                            <a:picLocks noChangeAspect="1" noChangeArrowheads="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p>
        </w:tc>
        <w:bookmarkEnd w:id="60"/>
      </w:tr>
    </w:tbl>
    <w:p w14:paraId="000B2FD3" w14:textId="2E96CDD0" w:rsidR="002B0E5A" w:rsidRDefault="00823BCA">
      <w:pPr>
        <w:pStyle w:val="BodyText"/>
      </w:pPr>
      <w:r>
        <w:t xml:space="preserve">However, the recovery from the economic recession initiated a different trajectory for different social classes. As shown in </w:t>
      </w:r>
      <w:hyperlink w:anchor="fig-time-class">
        <w:r>
          <w:rPr>
            <w:rStyle w:val="Hyperlink"/>
          </w:rPr>
          <w:t>Figure 4.2</w:t>
        </w:r>
      </w:hyperlink>
      <w:r>
        <w:t>,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p w14:paraId="000B2FD4" w14:textId="77777777" w:rsidR="002B0E5A" w:rsidRDefault="00823BCA">
      <w:pPr>
        <w:pStyle w:val="SourceCode"/>
      </w:pPr>
      <w:r>
        <w:t xml:space="preserve"># A </w:t>
      </w:r>
      <w:proofErr w:type="spellStart"/>
      <w:r>
        <w:t>tibble</w:t>
      </w:r>
      <w:proofErr w:type="spellEnd"/>
      <w:r>
        <w:t>: 11 × 2</w:t>
      </w:r>
      <w:r>
        <w:br/>
        <w:t xml:space="preserve">   </w:t>
      </w:r>
      <w:proofErr w:type="spellStart"/>
      <w:proofErr w:type="gramStart"/>
      <w:r>
        <w:t>essround</w:t>
      </w:r>
      <w:proofErr w:type="spellEnd"/>
      <w:r>
        <w:t xml:space="preserve">  mean</w:t>
      </w:r>
      <w:proofErr w:type="gramEnd"/>
      <w:r>
        <w:br/>
        <w:t xml:space="preserve">      &lt;</w:t>
      </w:r>
      <w:proofErr w:type="spellStart"/>
      <w:r>
        <w:t>dbl</w:t>
      </w:r>
      <w:proofErr w:type="spellEnd"/>
      <w:r>
        <w:t>&gt; &lt;</w:t>
      </w:r>
      <w:proofErr w:type="spellStart"/>
      <w:r>
        <w:t>dbl</w:t>
      </w:r>
      <w:proofErr w:type="spellEnd"/>
      <w:r>
        <w:t>&gt;</w:t>
      </w:r>
      <w:r>
        <w:br/>
        <w:t xml:space="preserve"> 1        1 0.791</w:t>
      </w:r>
      <w:r>
        <w:br/>
        <w:t xml:space="preserve"> 2        2 0.804</w:t>
      </w:r>
      <w:r>
        <w:br/>
      </w:r>
      <w:r>
        <w:lastRenderedPageBreak/>
        <w:t xml:space="preserve"> 3        3 0.776</w:t>
      </w:r>
      <w:r>
        <w:br/>
        <w:t xml:space="preserve"> 4        4 0.746</w:t>
      </w:r>
      <w:r>
        <w:br/>
        <w:t xml:space="preserve"> 5        5 0.826</w:t>
      </w:r>
      <w:r>
        <w:br/>
        <w:t xml:space="preserve"> 6        6 0.831</w:t>
      </w:r>
      <w:r>
        <w:br/>
        <w:t xml:space="preserve"> 7        7 0.810</w:t>
      </w:r>
      <w:r>
        <w:br/>
        <w:t xml:space="preserve"> 8        8 0.817</w:t>
      </w:r>
      <w:r>
        <w:br/>
        <w:t xml:space="preserve"> 9        9 0.840</w:t>
      </w:r>
      <w:r>
        <w:br/>
        <w:t>10       10 0.851</w:t>
      </w:r>
      <w:r>
        <w:br/>
        <w:t>11       11 0.854</w:t>
      </w:r>
    </w:p>
    <w:tbl>
      <w:tblPr>
        <w:tblW w:w="5000" w:type="pct"/>
        <w:tblLayout w:type="fixed"/>
        <w:tblLook w:val="0000" w:firstRow="0" w:lastRow="0" w:firstColumn="0" w:lastColumn="0" w:noHBand="0" w:noVBand="0"/>
      </w:tblPr>
      <w:tblGrid>
        <w:gridCol w:w="9026"/>
      </w:tblGrid>
      <w:tr w:rsidR="002B0E5A" w14:paraId="000B2FD7" w14:textId="77777777">
        <w:tc>
          <w:tcPr>
            <w:tcW w:w="7920" w:type="dxa"/>
          </w:tcPr>
          <w:p w14:paraId="000B2FD5" w14:textId="77777777" w:rsidR="002B0E5A" w:rsidRDefault="00823BCA">
            <w:pPr>
              <w:pStyle w:val="ImageCaption"/>
              <w:spacing w:before="200"/>
              <w:jc w:val="left"/>
            </w:pPr>
            <w:bookmarkStart w:id="61" w:name="fig-time-class"/>
            <w:r>
              <w:t>Figure 4.2: Proportion agreeing that the ‘Government should reduce income differences’ by social class and year, Ireland, 2002-2024</w:t>
            </w:r>
          </w:p>
          <w:p w14:paraId="000B2FD6" w14:textId="77777777" w:rsidR="002B0E5A" w:rsidRDefault="00823BCA">
            <w:pPr>
              <w:jc w:val="center"/>
            </w:pPr>
            <w:r>
              <w:rPr>
                <w:noProof/>
              </w:rPr>
              <w:drawing>
                <wp:inline distT="0" distB="0" distL="0" distR="0" wp14:anchorId="000B3057" wp14:editId="000B3058">
                  <wp:extent cx="5727700" cy="357981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img/fig_time_class.png"/>
                          <pic:cNvPicPr>
                            <a:picLocks noChangeAspect="1" noChangeArrowheads="1"/>
                          </pic:cNvPicPr>
                        </pic:nvPicPr>
                        <pic:blipFill>
                          <a:blip r:embed="rId21"/>
                          <a:stretch>
                            <a:fillRect/>
                          </a:stretch>
                        </pic:blipFill>
                        <pic:spPr bwMode="auto">
                          <a:xfrm>
                            <a:off x="0" y="0"/>
                            <a:ext cx="5727700" cy="3579812"/>
                          </a:xfrm>
                          <a:prstGeom prst="rect">
                            <a:avLst/>
                          </a:prstGeom>
                          <a:noFill/>
                          <a:ln w="9525">
                            <a:noFill/>
                            <a:headEnd/>
                            <a:tailEnd/>
                          </a:ln>
                        </pic:spPr>
                      </pic:pic>
                    </a:graphicData>
                  </a:graphic>
                </wp:inline>
              </w:drawing>
            </w:r>
          </w:p>
        </w:tc>
        <w:bookmarkEnd w:id="61"/>
      </w:tr>
    </w:tbl>
    <w:p w14:paraId="000B2FD8" w14:textId="5AB87F37" w:rsidR="002B0E5A" w:rsidRDefault="00823BCA">
      <w:pPr>
        <w:pStyle w:val="BodyText"/>
      </w:pPr>
      <w:r>
        <w:t xml:space="preserve">The solid line in </w:t>
      </w:r>
      <w:hyperlink w:anchor="fig-unemp">
        <w:r>
          <w:rPr>
            <w:rStyle w:val="Hyperlink"/>
          </w:rPr>
          <w:t>Figure 4.3</w:t>
        </w:r>
      </w:hyperlink>
      <w:r>
        <w:t xml:space="preserve"> shows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 The figure </w:t>
      </w:r>
      <w:proofErr w:type="gramStart"/>
      <w:r>
        <w:t>suggest</w:t>
      </w:r>
      <w:proofErr w:type="gramEnd"/>
      <w:r>
        <w:t xml:space="preserve"> an increase in support in anticipation of the unemployment rise (although based on limited number of observations). On the other hand, the sharp reduction</w:t>
      </w:r>
      <w:r>
        <w:t xml:space="preserve"> in unemployment was not accompanied by a significant decrease in support, which has been stable since mid-2010’s.</w:t>
      </w:r>
    </w:p>
    <w:tbl>
      <w:tblPr>
        <w:tblW w:w="5000" w:type="pct"/>
        <w:tblLayout w:type="fixed"/>
        <w:tblLook w:val="0000" w:firstRow="0" w:lastRow="0" w:firstColumn="0" w:lastColumn="0" w:noHBand="0" w:noVBand="0"/>
      </w:tblPr>
      <w:tblGrid>
        <w:gridCol w:w="9026"/>
      </w:tblGrid>
      <w:tr w:rsidR="002B0E5A" w14:paraId="000B2FDB" w14:textId="77777777">
        <w:tc>
          <w:tcPr>
            <w:tcW w:w="7920" w:type="dxa"/>
          </w:tcPr>
          <w:p w14:paraId="000B2FD9" w14:textId="77777777" w:rsidR="002B0E5A" w:rsidRDefault="00823BCA">
            <w:pPr>
              <w:pStyle w:val="ImageCaption"/>
              <w:spacing w:before="200"/>
              <w:jc w:val="left"/>
            </w:pPr>
            <w:bookmarkStart w:id="62" w:name="fig-unemp"/>
            <w:r>
              <w:lastRenderedPageBreak/>
              <w:t>Figure 4.3: Monthly unemployment rate and moving average (3 months) of support for redistribution, Ireland, 2002-2023</w:t>
            </w:r>
          </w:p>
          <w:p w14:paraId="000B2FDA" w14:textId="77777777" w:rsidR="002B0E5A" w:rsidRDefault="00823BCA">
            <w:pPr>
              <w:jc w:val="center"/>
            </w:pPr>
            <w:r>
              <w:rPr>
                <w:noProof/>
              </w:rPr>
              <w:drawing>
                <wp:inline distT="0" distB="0" distL="0" distR="0" wp14:anchorId="000B3059" wp14:editId="000B305A">
                  <wp:extent cx="5727700" cy="409121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img/fig_unemp.png"/>
                          <pic:cNvPicPr>
                            <a:picLocks noChangeAspect="1" noChangeArrowheads="1"/>
                          </pic:cNvPicPr>
                        </pic:nvPicPr>
                        <pic:blipFill>
                          <a:blip r:embed="rId22"/>
                          <a:stretch>
                            <a:fillRect/>
                          </a:stretch>
                        </pic:blipFill>
                        <pic:spPr bwMode="auto">
                          <a:xfrm>
                            <a:off x="0" y="0"/>
                            <a:ext cx="5727700" cy="4091214"/>
                          </a:xfrm>
                          <a:prstGeom prst="rect">
                            <a:avLst/>
                          </a:prstGeom>
                          <a:noFill/>
                          <a:ln w="9525">
                            <a:noFill/>
                            <a:headEnd/>
                            <a:tailEnd/>
                          </a:ln>
                        </pic:spPr>
                      </pic:pic>
                    </a:graphicData>
                  </a:graphic>
                </wp:inline>
              </w:drawing>
            </w:r>
          </w:p>
        </w:tc>
        <w:bookmarkEnd w:id="62"/>
      </w:tr>
    </w:tbl>
    <w:p w14:paraId="000B2FDC" w14:textId="77777777" w:rsidR="002B0E5A" w:rsidRDefault="00823BCA">
      <w:pPr>
        <w:pStyle w:val="Heading2"/>
      </w:pPr>
      <w:bookmarkStart w:id="63" w:name="age-and-gender"/>
      <w:bookmarkStart w:id="64" w:name="_Toc210752641"/>
      <w:r>
        <w:t>4.1 Age and Gender</w:t>
      </w:r>
      <w:bookmarkEnd w:id="64"/>
    </w:p>
    <w:p w14:paraId="000B2FDD" w14:textId="718BCCA2" w:rsidR="002B0E5A" w:rsidRDefault="00823BCA">
      <w:pPr>
        <w:pStyle w:val="FirstParagraph"/>
      </w:pPr>
      <w:r>
        <w:t xml:space="preserve">The relationship between age and the response variable seems to change across rounds. As discussed in </w:t>
      </w:r>
      <w:hyperlink w:anchor="sec-who">
        <w:r>
          <w:rPr>
            <w:rStyle w:val="Hyperlink"/>
          </w:rPr>
          <w:t>Chapter 2</w:t>
        </w:r>
      </w:hyperlink>
      <w:r>
        <w:t xml:space="preserve">, the multivariate regression model indicates that, considering all rounds, older respondents support more the government reducing income differences. However, the average support by age observed in the latest round (11) seem to indicate the opposite (see </w:t>
      </w:r>
      <w:hyperlink w:anchor="fig-age-round">
        <w:r>
          <w:rPr>
            <w:rStyle w:val="Hyperlink"/>
          </w:rPr>
          <w:t>Figure 4.4</w:t>
        </w:r>
      </w:hyperlink>
      <w:r>
        <w:t xml:space="preserve"> in </w:t>
      </w:r>
      <w:hyperlink w:anchor="sec-who">
        <w:r>
          <w:rPr>
            <w:rStyle w:val="Hyperlink"/>
          </w:rPr>
          <w:t>Chapter 2</w:t>
        </w:r>
      </w:hyperlink>
      <w:r>
        <w:t>). During the third and fourth rounds, there is a positive association between age and support for redistribution.</w:t>
      </w:r>
    </w:p>
    <w:tbl>
      <w:tblPr>
        <w:tblW w:w="5000" w:type="pct"/>
        <w:tblLayout w:type="fixed"/>
        <w:tblLook w:val="0000" w:firstRow="0" w:lastRow="0" w:firstColumn="0" w:lastColumn="0" w:noHBand="0" w:noVBand="0"/>
      </w:tblPr>
      <w:tblGrid>
        <w:gridCol w:w="9026"/>
      </w:tblGrid>
      <w:tr w:rsidR="002B0E5A" w14:paraId="000B2FE0" w14:textId="77777777">
        <w:tc>
          <w:tcPr>
            <w:tcW w:w="7920" w:type="dxa"/>
          </w:tcPr>
          <w:p w14:paraId="000B2FDE" w14:textId="77777777" w:rsidR="002B0E5A" w:rsidRDefault="00823BCA">
            <w:pPr>
              <w:pStyle w:val="ImageCaption"/>
              <w:spacing w:before="200"/>
              <w:jc w:val="left"/>
            </w:pPr>
            <w:bookmarkStart w:id="65" w:name="fig-age-round"/>
            <w:r>
              <w:lastRenderedPageBreak/>
              <w:t>Figure 4.4: Scatter plot for ‘reduce income differences’ by age and ESS round, Ireland</w:t>
            </w:r>
          </w:p>
          <w:p w14:paraId="000B2FDF" w14:textId="77777777" w:rsidR="002B0E5A" w:rsidRDefault="00823BCA">
            <w:pPr>
              <w:jc w:val="center"/>
            </w:pPr>
            <w:r>
              <w:rPr>
                <w:noProof/>
              </w:rPr>
              <w:drawing>
                <wp:inline distT="0" distB="0" distL="0" distR="0" wp14:anchorId="000B305B" wp14:editId="000B305C">
                  <wp:extent cx="5727700" cy="57277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img/fig_age_round.png"/>
                          <pic:cNvPicPr>
                            <a:picLocks noChangeAspect="1" noChangeArrowheads="1"/>
                          </pic:cNvPicPr>
                        </pic:nvPicPr>
                        <pic:blipFill>
                          <a:blip r:embed="rId23"/>
                          <a:stretch>
                            <a:fillRect/>
                          </a:stretch>
                        </pic:blipFill>
                        <pic:spPr bwMode="auto">
                          <a:xfrm>
                            <a:off x="0" y="0"/>
                            <a:ext cx="5727700" cy="5727700"/>
                          </a:xfrm>
                          <a:prstGeom prst="rect">
                            <a:avLst/>
                          </a:prstGeom>
                          <a:noFill/>
                          <a:ln w="9525">
                            <a:noFill/>
                            <a:headEnd/>
                            <a:tailEnd/>
                          </a:ln>
                        </pic:spPr>
                      </pic:pic>
                    </a:graphicData>
                  </a:graphic>
                </wp:inline>
              </w:drawing>
            </w:r>
          </w:p>
        </w:tc>
        <w:bookmarkEnd w:id="65"/>
      </w:tr>
    </w:tbl>
    <w:p w14:paraId="000B2FE1" w14:textId="0F8E30E4" w:rsidR="002B0E5A" w:rsidRDefault="00823BCA">
      <w:pPr>
        <w:pStyle w:val="BodyText"/>
      </w:pPr>
      <w:r>
        <w:t xml:space="preserve">The </w:t>
      </w:r>
      <w:hyperlink w:anchor="fig-ess-cohort">
        <w:r>
          <w:rPr>
            <w:rStyle w:val="Hyperlink"/>
          </w:rPr>
          <w:t>Figure 4.5</w:t>
        </w:r>
      </w:hyperlink>
      <w:r>
        <w:t xml:space="preserve"> below shows the support for redistribution across respondents grouped according to their birth year (pseudo-cohort) and gender. The younger cohort (18-21 years old in the beginning of the series) show increasing support as they enter and establish themselves in the labour market. The two older cohorts show a substantial variation with average higher support during the recession and recovery years (2008-2014).</w:t>
      </w:r>
    </w:p>
    <w:tbl>
      <w:tblPr>
        <w:tblW w:w="5000" w:type="pct"/>
        <w:tblLayout w:type="fixed"/>
        <w:tblLook w:val="0000" w:firstRow="0" w:lastRow="0" w:firstColumn="0" w:lastColumn="0" w:noHBand="0" w:noVBand="0"/>
      </w:tblPr>
      <w:tblGrid>
        <w:gridCol w:w="9026"/>
      </w:tblGrid>
      <w:tr w:rsidR="002B0E5A" w14:paraId="000B2FE4" w14:textId="77777777">
        <w:tc>
          <w:tcPr>
            <w:tcW w:w="7920" w:type="dxa"/>
          </w:tcPr>
          <w:p w14:paraId="000B2FE2" w14:textId="77777777" w:rsidR="002B0E5A" w:rsidRDefault="00823BCA">
            <w:pPr>
              <w:pStyle w:val="ImageCaption"/>
              <w:spacing w:before="200"/>
              <w:jc w:val="left"/>
            </w:pPr>
            <w:bookmarkStart w:id="66" w:name="fig-ess-cohort"/>
            <w:r>
              <w:lastRenderedPageBreak/>
              <w:t>Figure 4.5: Support for redistribution over time by pseudo-cohort and gender, Ireland</w:t>
            </w:r>
          </w:p>
          <w:p w14:paraId="000B2FE3" w14:textId="77777777" w:rsidR="002B0E5A" w:rsidRDefault="00823BCA">
            <w:pPr>
              <w:jc w:val="center"/>
            </w:pPr>
            <w:r>
              <w:rPr>
                <w:noProof/>
              </w:rPr>
              <w:drawing>
                <wp:inline distT="0" distB="0" distL="0" distR="0" wp14:anchorId="000B305D" wp14:editId="000B305E">
                  <wp:extent cx="5503598" cy="6420865"/>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img/fig_cohort.png"/>
                          <pic:cNvPicPr>
                            <a:picLocks noChangeAspect="1" noChangeArrowheads="1"/>
                          </pic:cNvPicPr>
                        </pic:nvPicPr>
                        <pic:blipFill>
                          <a:blip r:embed="rId24"/>
                          <a:stretch>
                            <a:fillRect/>
                          </a:stretch>
                        </pic:blipFill>
                        <pic:spPr bwMode="auto">
                          <a:xfrm>
                            <a:off x="0" y="0"/>
                            <a:ext cx="5503598" cy="6420865"/>
                          </a:xfrm>
                          <a:prstGeom prst="rect">
                            <a:avLst/>
                          </a:prstGeom>
                          <a:noFill/>
                          <a:ln w="9525">
                            <a:noFill/>
                            <a:headEnd/>
                            <a:tailEnd/>
                          </a:ln>
                        </pic:spPr>
                      </pic:pic>
                    </a:graphicData>
                  </a:graphic>
                </wp:inline>
              </w:drawing>
            </w:r>
          </w:p>
        </w:tc>
        <w:bookmarkEnd w:id="66"/>
      </w:tr>
    </w:tbl>
    <w:p w14:paraId="000B2FE5" w14:textId="729C5BAF" w:rsidR="002B0E5A" w:rsidRDefault="00823BCA">
      <w:pPr>
        <w:pStyle w:val="BodyText"/>
      </w:pPr>
      <w:r>
        <w:t xml:space="preserve">The visual examination of </w:t>
      </w:r>
      <w:hyperlink w:anchor="fig-ess-cohort">
        <w:r>
          <w:rPr>
            <w:rStyle w:val="Hyperlink"/>
          </w:rPr>
          <w:t>Figure 4.5</w:t>
        </w:r>
      </w:hyperlink>
      <w:r>
        <w:t xml:space="preserve"> shows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p w14:paraId="000B2FE6" w14:textId="77777777" w:rsidR="002B0E5A" w:rsidRDefault="00823BCA">
      <w:pPr>
        <w:pStyle w:val="Heading2"/>
      </w:pPr>
      <w:bookmarkStart w:id="67" w:name="relevant-events"/>
      <w:bookmarkStart w:id="68" w:name="_Toc210752642"/>
      <w:bookmarkEnd w:id="63"/>
      <w:r>
        <w:lastRenderedPageBreak/>
        <w:t>4.2 Relevant events</w:t>
      </w:r>
      <w:bookmarkEnd w:id="68"/>
    </w:p>
    <w:p w14:paraId="000B2FE7" w14:textId="18BC4F88" w:rsidR="002B0E5A" w:rsidRDefault="00823BCA">
      <w:pPr>
        <w:pStyle w:val="FirstParagraph"/>
      </w:pPr>
      <w:r>
        <w:t>There is a growing number of studies showing that socio-economic events shape attitudes, preferences and beliefs related to welfare and redistribution (</w:t>
      </w:r>
      <w:hyperlink w:anchor="ref-giuliano_aggregate_2025">
        <w:r>
          <w:rPr>
            <w:rStyle w:val="Hyperlink"/>
          </w:rPr>
          <w:t xml:space="preserve">Giuliano and </w:t>
        </w:r>
        <w:proofErr w:type="spellStart"/>
        <w:r>
          <w:rPr>
            <w:rStyle w:val="Hyperlink"/>
          </w:rPr>
          <w:t>Spilimbergo</w:t>
        </w:r>
        <w:proofErr w:type="spellEnd"/>
        <w:r>
          <w:rPr>
            <w:rStyle w:val="Hyperlink"/>
          </w:rPr>
          <w:t xml:space="preserve"> 2025</w:t>
        </w:r>
      </w:hyperlink>
      <w:r>
        <w:t>). Due to the cross-sectional nature of the European Social Survey, testing the impact of these changes, such as the recession or the pandemic, is challenging. The survey interviews different individuals across substantially different time periods, so the differences found across rounds might be due to a diverse range of measured and unmeasured factors.</w:t>
      </w:r>
    </w:p>
    <w:p w14:paraId="000B2FE8" w14:textId="5B03EA2A" w:rsidR="002B0E5A" w:rsidRDefault="00823BCA">
      <w:pPr>
        <w:pStyle w:val="BodyText"/>
      </w:pPr>
      <w:r>
        <w:t xml:space="preserve">However, several Event Study methods provide tools to examine the impact of more specific events contained in shorter time frames. </w:t>
      </w:r>
      <w:proofErr w:type="spellStart"/>
      <w:r>
        <w:t>Dunaiski</w:t>
      </w:r>
      <w:proofErr w:type="spellEnd"/>
      <w:r>
        <w:t xml:space="preserve"> and Tukiainen (</w:t>
      </w:r>
      <w:hyperlink w:anchor="ref-dunaiski_does_2025">
        <w:r>
          <w:rPr>
            <w:rStyle w:val="Hyperlink"/>
          </w:rPr>
          <w:t>2025</w:t>
        </w:r>
      </w:hyperlink>
      <w:r>
        <w:t>), for instance, detected a difference in the perception of fairness of income in Finland in the period immediately after the country’s ‘Tax Day’, when authorities publish a list of individuals with the highest taxable income in the country. The authors utilised the ‘Unexpected Event During Survey’ (UEDS) design (</w:t>
      </w:r>
      <w:hyperlink w:anchor="ref-munoz_unexpected_2020">
        <w:r>
          <w:rPr>
            <w:rStyle w:val="Hyperlink"/>
          </w:rPr>
          <w:t>Muñoz, Falcó-Gimeno, and Hernández 2020</w:t>
        </w:r>
      </w:hyperlink>
      <w:r>
        <w:t>) to assess the impact of the event taking the respondents interviewed before the event as the control group in a quasi-experiment approach.</w:t>
      </w:r>
    </w:p>
    <w:p w14:paraId="000B2FE9" w14:textId="77777777" w:rsidR="002B0E5A" w:rsidRDefault="00823BCA">
      <w:pPr>
        <w:pStyle w:val="Heading3"/>
      </w:pPr>
      <w:bookmarkStart w:id="69" w:name="Xab4cda7b716d90fb1d58464144f5c93ed739a2c"/>
      <w:bookmarkStart w:id="70" w:name="_Toc210752643"/>
      <w:r>
        <w:t>4.2.1 Attitudes are impacted by government campaigns</w:t>
      </w:r>
      <w:bookmarkEnd w:id="70"/>
    </w:p>
    <w:p w14:paraId="000B2FEA" w14:textId="14D60C08" w:rsidR="002B0E5A" w:rsidRDefault="00823BCA">
      <w:pPr>
        <w:pStyle w:val="FirstParagraph"/>
      </w:pPr>
      <w:r>
        <w:t>During the ESS Round 8 data collection, the government launched a campaign against welfare fraud. With the slogan ‘</w:t>
      </w:r>
      <w:r>
        <w:rPr>
          <w:i/>
          <w:iCs/>
        </w:rPr>
        <w:t>Welfare Cheats, Cheat Us All</w:t>
      </w:r>
      <w:r>
        <w:t>’, the Department of Social Protection funded a widely publicised media campaign with the intent of increasing fraud reporting and changing public perceptions of welfare fraud (</w:t>
      </w:r>
      <w:hyperlink w:anchor="ref-devereux_fake_2019">
        <w:r>
          <w:rPr>
            <w:rStyle w:val="Hyperlink"/>
          </w:rPr>
          <w:t>Devereux and Power 2019</w:t>
        </w:r>
      </w:hyperlink>
      <w:r>
        <w:t>). The campaign ran from April to July 2017. 73% of the respondents had been interviewed by then and the remaining interviews were conducted during this period. After analysing the content of the campaign and reporting statistics, Power, Devereux, and Ryan (</w:t>
      </w:r>
      <w:hyperlink w:anchor="ref-power_framing_2022">
        <w:r>
          <w:rPr>
            <w:rStyle w:val="Hyperlink"/>
          </w:rPr>
          <w:t>2022</w:t>
        </w:r>
      </w:hyperlink>
      <w:r>
        <w:t>) show that it had not affect the overall number of fraud reports, but may impacted the public legitimacy of welfare recipients in general.</w:t>
      </w:r>
    </w:p>
    <w:p w14:paraId="000B2FEB" w14:textId="58A45F56" w:rsidR="002B0E5A" w:rsidRDefault="00823BCA">
      <w:pPr>
        <w:pStyle w:val="BodyText"/>
      </w:pPr>
      <w:r>
        <w:t xml:space="preserve">Using data from the ESS, we assessed the impact of this campaign on welfare attitudes in Ireland. </w:t>
      </w:r>
      <w:hyperlink w:anchor="fig-dsp-mean">
        <w:r>
          <w:rPr>
            <w:rStyle w:val="Hyperlink"/>
          </w:rPr>
          <w:t>Figure 4.6</w:t>
        </w:r>
      </w:hyperlink>
      <w:r>
        <w:t xml:space="preserve"> shows the 7-day moving average of three variables in the 30-day time window around the launch of the </w:t>
      </w:r>
      <w:proofErr w:type="spellStart"/>
      <w:r>
        <w:t>campaing</w:t>
      </w:r>
      <w:proofErr w:type="spellEnd"/>
      <w:r>
        <w:t xml:space="preserve"> on the 17th of April. For two of the three statements related to welfare attitudes, the visual examination suggests a change of trajectory after the beginning of the campaign.</w:t>
      </w:r>
    </w:p>
    <w:tbl>
      <w:tblPr>
        <w:tblW w:w="5000" w:type="pct"/>
        <w:tblLayout w:type="fixed"/>
        <w:tblLook w:val="0000" w:firstRow="0" w:lastRow="0" w:firstColumn="0" w:lastColumn="0" w:noHBand="0" w:noVBand="0"/>
      </w:tblPr>
      <w:tblGrid>
        <w:gridCol w:w="9026"/>
      </w:tblGrid>
      <w:tr w:rsidR="002B0E5A" w14:paraId="000B2FEE" w14:textId="77777777">
        <w:tc>
          <w:tcPr>
            <w:tcW w:w="7920" w:type="dxa"/>
          </w:tcPr>
          <w:p w14:paraId="000B2FEC" w14:textId="77777777" w:rsidR="002B0E5A" w:rsidRDefault="00823BCA">
            <w:pPr>
              <w:pStyle w:val="ImageCaption"/>
              <w:spacing w:before="200"/>
              <w:jc w:val="left"/>
            </w:pPr>
            <w:bookmarkStart w:id="71" w:name="fig-dsp-mean"/>
            <w:r>
              <w:lastRenderedPageBreak/>
              <w:t>Figure 4.6: 7-day moving average for three questions on welfare attitudes, Ireland, 2016-2017</w:t>
            </w:r>
          </w:p>
          <w:p w14:paraId="000B2FED" w14:textId="77777777" w:rsidR="002B0E5A" w:rsidRDefault="00823BCA">
            <w:pPr>
              <w:jc w:val="center"/>
            </w:pPr>
            <w:r>
              <w:rPr>
                <w:noProof/>
              </w:rPr>
              <w:drawing>
                <wp:inline distT="0" distB="0" distL="0" distR="0" wp14:anchorId="000B305F" wp14:editId="000B3060">
                  <wp:extent cx="4586332" cy="6420865"/>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img/fig_dsp_mean.png"/>
                          <pic:cNvPicPr>
                            <a:picLocks noChangeAspect="1" noChangeArrowheads="1"/>
                          </pic:cNvPicPr>
                        </pic:nvPicPr>
                        <pic:blipFill>
                          <a:blip r:embed="rId25"/>
                          <a:stretch>
                            <a:fillRect/>
                          </a:stretch>
                        </pic:blipFill>
                        <pic:spPr bwMode="auto">
                          <a:xfrm>
                            <a:off x="0" y="0"/>
                            <a:ext cx="4586332" cy="6420865"/>
                          </a:xfrm>
                          <a:prstGeom prst="rect">
                            <a:avLst/>
                          </a:prstGeom>
                          <a:noFill/>
                          <a:ln w="9525">
                            <a:noFill/>
                            <a:headEnd/>
                            <a:tailEnd/>
                          </a:ln>
                        </pic:spPr>
                      </pic:pic>
                    </a:graphicData>
                  </a:graphic>
                </wp:inline>
              </w:drawing>
            </w:r>
          </w:p>
        </w:tc>
        <w:bookmarkEnd w:id="71"/>
      </w:tr>
    </w:tbl>
    <w:p w14:paraId="000B2FEF" w14:textId="77777777" w:rsidR="002B0E5A" w:rsidRDefault="00823BCA">
      <w:pPr>
        <w:pStyle w:val="BodyText"/>
      </w:pPr>
      <w:r>
        <w:t>To test if the difference is statistically significant, we built a logistic regression model with time-fixed effects and controls for potential socio-demographic differences in the period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w:t>
      </w:r>
      <w:r>
        <w:t xml:space="preserve">lass, age and gender were included in the model. The observations selected for the analysis are from interviews conducted two weeks prior or after the campaign launch. We also removed from the analysis </w:t>
      </w:r>
      <w:r>
        <w:lastRenderedPageBreak/>
        <w:t>respondents who indicate that they do not watch, listen or read news about politics or current affairs (9%).</w:t>
      </w:r>
    </w:p>
    <w:p w14:paraId="000B2FF0" w14:textId="1E32830E" w:rsidR="002B0E5A" w:rsidRDefault="00823BCA">
      <w:pPr>
        <w:pStyle w:val="BodyText"/>
      </w:pPr>
      <w:hyperlink w:anchor="fig-dsp-model">
        <w:r>
          <w:rPr>
            <w:rStyle w:val="Hyperlink"/>
          </w:rPr>
          <w:t>Figure 4.7</w:t>
        </w:r>
      </w:hyperlink>
      <w:r>
        <w:t xml:space="preserve"> shows the estimates of the effect of being interviewed after the launch of the DSP campaign. No significant effects were for the variables related to support for redistribution and the view that social benefits lead to a more equal society. However, the model suggests that respondents have about 80% higher odds of agreeing that social benefits make people lazy if interviewed up to 15 days after the launch of the campaign compared to those interviewed up to 15 days prior to the launch.</w:t>
      </w:r>
    </w:p>
    <w:tbl>
      <w:tblPr>
        <w:tblW w:w="5000" w:type="pct"/>
        <w:tblLayout w:type="fixed"/>
        <w:tblLook w:val="0000" w:firstRow="0" w:lastRow="0" w:firstColumn="0" w:lastColumn="0" w:noHBand="0" w:noVBand="0"/>
      </w:tblPr>
      <w:tblGrid>
        <w:gridCol w:w="9026"/>
      </w:tblGrid>
      <w:tr w:rsidR="002B0E5A" w14:paraId="000B2FF3" w14:textId="77777777">
        <w:tc>
          <w:tcPr>
            <w:tcW w:w="7920" w:type="dxa"/>
          </w:tcPr>
          <w:p w14:paraId="000B2FF1" w14:textId="77777777" w:rsidR="002B0E5A" w:rsidRDefault="00823BCA">
            <w:pPr>
              <w:pStyle w:val="ImageCaption"/>
              <w:spacing w:before="200"/>
              <w:jc w:val="left"/>
            </w:pPr>
            <w:bookmarkStart w:id="72" w:name="fig-dsp-model"/>
            <w:r>
              <w:t>Figure 4.7: Estimates (odds-ratio) for period of interview on welfare attitudes, Ireland, 2016-2017</w:t>
            </w:r>
          </w:p>
          <w:p w14:paraId="000B2FF2" w14:textId="77777777" w:rsidR="002B0E5A" w:rsidRDefault="00823BCA">
            <w:pPr>
              <w:jc w:val="center"/>
            </w:pPr>
            <w:r>
              <w:rPr>
                <w:noProof/>
              </w:rPr>
              <w:drawing>
                <wp:inline distT="0" distB="0" distL="0" distR="0" wp14:anchorId="000B3061" wp14:editId="000B3062">
                  <wp:extent cx="5503598" cy="4586332"/>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img/fig_dsp_model.png"/>
                          <pic:cNvPicPr>
                            <a:picLocks noChangeAspect="1" noChangeArrowheads="1"/>
                          </pic:cNvPicPr>
                        </pic:nvPicPr>
                        <pic:blipFill>
                          <a:blip r:embed="rId26"/>
                          <a:stretch>
                            <a:fillRect/>
                          </a:stretch>
                        </pic:blipFill>
                        <pic:spPr bwMode="auto">
                          <a:xfrm>
                            <a:off x="0" y="0"/>
                            <a:ext cx="5503598" cy="4586332"/>
                          </a:xfrm>
                          <a:prstGeom prst="rect">
                            <a:avLst/>
                          </a:prstGeom>
                          <a:noFill/>
                          <a:ln w="9525">
                            <a:noFill/>
                            <a:headEnd/>
                            <a:tailEnd/>
                          </a:ln>
                        </pic:spPr>
                      </pic:pic>
                    </a:graphicData>
                  </a:graphic>
                </wp:inline>
              </w:drawing>
            </w:r>
          </w:p>
        </w:tc>
        <w:bookmarkEnd w:id="72"/>
      </w:tr>
    </w:tbl>
    <w:p w14:paraId="000B2FF4" w14:textId="77777777" w:rsidR="002B0E5A" w:rsidRDefault="00823BCA">
      <w:pPr>
        <w:pStyle w:val="Heading3"/>
      </w:pPr>
      <w:bookmarkStart w:id="73" w:name="budget-announcement"/>
      <w:bookmarkStart w:id="74" w:name="_Toc210752644"/>
      <w:bookmarkEnd w:id="69"/>
      <w:r>
        <w:t>4.2.2 Budget announcement</w:t>
      </w:r>
      <w:bookmarkEnd w:id="74"/>
    </w:p>
    <w:p w14:paraId="000B2FF5" w14:textId="77777777" w:rsidR="002B0E5A" w:rsidRDefault="00823BCA">
      <w:pPr>
        <w:pStyle w:val="FirstParagraph"/>
      </w:pPr>
      <w:r>
        <w:t>Another relevant event for welfare attitudes and support for redistribution is the annual announcement of the public budget for the following year. Although this cannot be considered an unexpected event, we hypothesise that the media coverage after the announcement may increase the salience of welfare policies and positively impact respondents’ support for redistribution.</w:t>
      </w:r>
    </w:p>
    <w:p w14:paraId="000B2FF6" w14:textId="628E75ED" w:rsidR="002B0E5A" w:rsidRDefault="00823BCA">
      <w:pPr>
        <w:pStyle w:val="BodyText"/>
      </w:pPr>
      <w:r>
        <w:lastRenderedPageBreak/>
        <w:t xml:space="preserve">The announcement dates in Ireland coincided with the European Social Survey fieldwork in six different years: 2006, 2009, 2011, 2012, 2014, and 2023. The </w:t>
      </w:r>
      <w:hyperlink w:anchor="fig-budget-mean">
        <w:r>
          <w:rPr>
            <w:rStyle w:val="Hyperlink"/>
          </w:rPr>
          <w:t>Figure 4.8</w:t>
        </w:r>
      </w:hyperlink>
      <w:r>
        <w:t xml:space="preserve"> shows the 7-day moving average for the proportion of respondents who agree that the government should reduce differences in income within the 30-day time window around the announcement of the budget.</w:t>
      </w:r>
    </w:p>
    <w:tbl>
      <w:tblPr>
        <w:tblW w:w="5000" w:type="pct"/>
        <w:tblLayout w:type="fixed"/>
        <w:tblLook w:val="0000" w:firstRow="0" w:lastRow="0" w:firstColumn="0" w:lastColumn="0" w:noHBand="0" w:noVBand="0"/>
      </w:tblPr>
      <w:tblGrid>
        <w:gridCol w:w="9026"/>
      </w:tblGrid>
      <w:tr w:rsidR="002B0E5A" w14:paraId="000B2FF9" w14:textId="77777777">
        <w:tc>
          <w:tcPr>
            <w:tcW w:w="7920" w:type="dxa"/>
          </w:tcPr>
          <w:p w14:paraId="000B2FF7" w14:textId="77777777" w:rsidR="002B0E5A" w:rsidRDefault="00823BCA">
            <w:pPr>
              <w:pStyle w:val="ImageCaption"/>
              <w:spacing w:before="200"/>
              <w:jc w:val="left"/>
            </w:pPr>
            <w:bookmarkStart w:id="75" w:name="fig-budget-mean"/>
            <w:r>
              <w:t>Figure 4.8: 7-day moving average for support for redistribution within the 30-day period of the public budget announcement, Ireland</w:t>
            </w:r>
          </w:p>
          <w:p w14:paraId="000B2FF8" w14:textId="77777777" w:rsidR="002B0E5A" w:rsidRDefault="00823BCA">
            <w:pPr>
              <w:jc w:val="center"/>
            </w:pPr>
            <w:r>
              <w:rPr>
                <w:noProof/>
              </w:rPr>
              <w:drawing>
                <wp:inline distT="0" distB="0" distL="0" distR="0" wp14:anchorId="000B3063" wp14:editId="000B3064">
                  <wp:extent cx="5503598" cy="5503598"/>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img/fig_budget_mean.png"/>
                          <pic:cNvPicPr>
                            <a:picLocks noChangeAspect="1" noChangeArrowheads="1"/>
                          </pic:cNvPicPr>
                        </pic:nvPicPr>
                        <pic:blipFill>
                          <a:blip r:embed="rId27"/>
                          <a:stretch>
                            <a:fillRect/>
                          </a:stretch>
                        </pic:blipFill>
                        <pic:spPr bwMode="auto">
                          <a:xfrm>
                            <a:off x="0" y="0"/>
                            <a:ext cx="5503598" cy="5503598"/>
                          </a:xfrm>
                          <a:prstGeom prst="rect">
                            <a:avLst/>
                          </a:prstGeom>
                          <a:noFill/>
                          <a:ln w="9525">
                            <a:noFill/>
                            <a:headEnd/>
                            <a:tailEnd/>
                          </a:ln>
                        </pic:spPr>
                      </pic:pic>
                    </a:graphicData>
                  </a:graphic>
                </wp:inline>
              </w:drawing>
            </w:r>
          </w:p>
        </w:tc>
        <w:bookmarkEnd w:id="75"/>
      </w:tr>
    </w:tbl>
    <w:p w14:paraId="000B2FFA" w14:textId="77777777" w:rsidR="002B0E5A" w:rsidRDefault="00823BCA">
      <w:pPr>
        <w:pStyle w:val="BodyText"/>
      </w:pPr>
      <w:r>
        <w:t xml:space="preserve">To test the impact of the budget announcement, we adopted a similar approach to the one discussed in the previous section. The model includes the same variables to control for </w:t>
      </w:r>
      <w:proofErr w:type="spellStart"/>
      <w:r>
        <w:t>sistematic</w:t>
      </w:r>
      <w:proofErr w:type="spellEnd"/>
      <w:r>
        <w:t xml:space="preserve"> differences in the sample composition of those interviewed before and after the announcement. Using the same time window of 30 days, we do not find any statistically significant differences in the support for redistribution. However, the difference is statistically significant when we select a shorter time window for the analyses.</w:t>
      </w:r>
    </w:p>
    <w:p w14:paraId="000B2FFB" w14:textId="05F04AA7" w:rsidR="002B0E5A" w:rsidRDefault="00823BCA">
      <w:pPr>
        <w:pStyle w:val="BodyText"/>
      </w:pPr>
      <w:r>
        <w:lastRenderedPageBreak/>
        <w:t xml:space="preserve">As shown in </w:t>
      </w:r>
      <w:hyperlink w:anchor="fig-budget-model">
        <w:r>
          <w:rPr>
            <w:rStyle w:val="Hyperlink"/>
          </w:rPr>
          <w:t>Figure 4.9</w:t>
        </w:r>
      </w:hyperlink>
      <w:r>
        <w:t xml:space="preserve">, when we consider only interviews conducted within a week or two-week period of the announcement, the differences are statistically significant. The direction of the effect is the opposite of what expected, with lower support for redistribution after the publication of the budget. One potential explanation is a higher salience of redistributive issues prior to the publication </w:t>
      </w:r>
      <w:proofErr w:type="gramStart"/>
      <w:r>
        <w:t>as a result of</w:t>
      </w:r>
      <w:proofErr w:type="gramEnd"/>
      <w:r>
        <w:t xml:space="preserve"> media speculation and campaigns from different organisation attempting to influence the public debate.</w:t>
      </w:r>
    </w:p>
    <w:p w14:paraId="000B2FFC" w14:textId="572ACF10" w:rsidR="002B0E5A" w:rsidRDefault="00823BCA">
      <w:pPr>
        <w:pStyle w:val="BodyText"/>
      </w:pPr>
      <w:r>
        <w:t xml:space="preserve">This relatively weak and short-lived effect found in Ireland goes in the same direction of </w:t>
      </w:r>
      <w:proofErr w:type="spellStart"/>
      <w:r>
        <w:t>Dunaiski</w:t>
      </w:r>
      <w:proofErr w:type="spellEnd"/>
      <w:r>
        <w:t xml:space="preserve"> and Tukiainen (</w:t>
      </w:r>
      <w:hyperlink w:anchor="ref-dunaiski_does_2025">
        <w:r>
          <w:rPr>
            <w:rStyle w:val="Hyperlink"/>
          </w:rPr>
          <w:t>2025</w:t>
        </w:r>
      </w:hyperlink>
      <w:r>
        <w:t>) conclusion that political events such as the ‘Tax Day’ in Finland have limited impact on attitudes.</w:t>
      </w:r>
    </w:p>
    <w:tbl>
      <w:tblPr>
        <w:tblW w:w="5000" w:type="pct"/>
        <w:tblLayout w:type="fixed"/>
        <w:tblLook w:val="0000" w:firstRow="0" w:lastRow="0" w:firstColumn="0" w:lastColumn="0" w:noHBand="0" w:noVBand="0"/>
      </w:tblPr>
      <w:tblGrid>
        <w:gridCol w:w="9026"/>
      </w:tblGrid>
      <w:tr w:rsidR="002B0E5A" w14:paraId="000B2FFF" w14:textId="77777777">
        <w:tc>
          <w:tcPr>
            <w:tcW w:w="7920" w:type="dxa"/>
          </w:tcPr>
          <w:p w14:paraId="000B2FFD" w14:textId="77777777" w:rsidR="002B0E5A" w:rsidRDefault="00823BCA">
            <w:pPr>
              <w:pStyle w:val="ImageCaption"/>
              <w:spacing w:before="200"/>
              <w:jc w:val="left"/>
            </w:pPr>
            <w:bookmarkStart w:id="76" w:name="fig-budget-model"/>
            <w:r>
              <w:t>Figure 4.9: Estimates (odds-ratio) for period of interview on support for redistribution by time window, Ireland</w:t>
            </w:r>
          </w:p>
          <w:p w14:paraId="000B2FFE" w14:textId="77777777" w:rsidR="002B0E5A" w:rsidRDefault="00823BCA">
            <w:pPr>
              <w:jc w:val="center"/>
            </w:pPr>
            <w:r>
              <w:rPr>
                <w:noProof/>
              </w:rPr>
              <w:drawing>
                <wp:inline distT="0" distB="0" distL="0" distR="0" wp14:anchorId="000B3065" wp14:editId="000B3066">
                  <wp:extent cx="4586332" cy="4586332"/>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img/fig_budget_model.png"/>
                          <pic:cNvPicPr>
                            <a:picLocks noChangeAspect="1" noChangeArrowheads="1"/>
                          </pic:cNvPicPr>
                        </pic:nvPicPr>
                        <pic:blipFill>
                          <a:blip r:embed="rId28"/>
                          <a:stretch>
                            <a:fillRect/>
                          </a:stretch>
                        </pic:blipFill>
                        <pic:spPr bwMode="auto">
                          <a:xfrm>
                            <a:off x="0" y="0"/>
                            <a:ext cx="4586332" cy="4586332"/>
                          </a:xfrm>
                          <a:prstGeom prst="rect">
                            <a:avLst/>
                          </a:prstGeom>
                          <a:noFill/>
                          <a:ln w="9525">
                            <a:noFill/>
                            <a:headEnd/>
                            <a:tailEnd/>
                          </a:ln>
                        </pic:spPr>
                      </pic:pic>
                    </a:graphicData>
                  </a:graphic>
                </wp:inline>
              </w:drawing>
            </w:r>
          </w:p>
        </w:tc>
        <w:bookmarkEnd w:id="76"/>
      </w:tr>
    </w:tbl>
    <w:p w14:paraId="000B3000" w14:textId="77777777" w:rsidR="002B0E5A" w:rsidRDefault="00823BCA">
      <w:pPr>
        <w:pStyle w:val="Heading3"/>
      </w:pPr>
      <w:bookmarkStart w:id="77" w:name="pandemic"/>
      <w:bookmarkStart w:id="78" w:name="_Toc210752645"/>
      <w:bookmarkEnd w:id="73"/>
      <w:r>
        <w:t>4.2.3 Pandemic</w:t>
      </w:r>
      <w:bookmarkEnd w:id="78"/>
    </w:p>
    <w:p w14:paraId="000B3001" w14:textId="5E59A990" w:rsidR="002B0E5A" w:rsidRDefault="00823BCA">
      <w:pPr>
        <w:pStyle w:val="FirstParagraph"/>
      </w:pPr>
      <w:r>
        <w:t>A major event experienced during the ESS time series was the COVID19 pandemic. Evidence from a survey experiment in the United States show that participants were more willing to prioritize society’s problems when exposed to issues related to the pandemic (</w:t>
      </w:r>
      <w:hyperlink w:anchor="ref-cappelen_solidarity_2021">
        <w:r>
          <w:rPr>
            <w:rStyle w:val="Hyperlink"/>
          </w:rPr>
          <w:t>Cappelen et al. 2021</w:t>
        </w:r>
      </w:hyperlink>
      <w:r>
        <w:t xml:space="preserve">). Van </w:t>
      </w:r>
      <w:proofErr w:type="spellStart"/>
      <w:r>
        <w:t>Hootegem</w:t>
      </w:r>
      <w:proofErr w:type="spellEnd"/>
      <w:r>
        <w:t xml:space="preserve"> and </w:t>
      </w:r>
      <w:proofErr w:type="spellStart"/>
      <w:r>
        <w:t>Laenen</w:t>
      </w:r>
      <w:proofErr w:type="spellEnd"/>
      <w:r>
        <w:t xml:space="preserve"> (</w:t>
      </w:r>
      <w:hyperlink w:anchor="ref-van_hootegem_wave_2023">
        <w:r>
          <w:rPr>
            <w:rStyle w:val="Hyperlink"/>
          </w:rPr>
          <w:t>2023</w:t>
        </w:r>
      </w:hyperlink>
      <w:r>
        <w:t xml:space="preserve">) show </w:t>
      </w:r>
      <w:r>
        <w:lastRenderedPageBreak/>
        <w:t>that the increase in support for a universal basic income increased with the pandemic but it was short lived.</w:t>
      </w:r>
    </w:p>
    <w:p w14:paraId="000B3002" w14:textId="6FB754FA" w:rsidR="002B0E5A" w:rsidRDefault="00823BCA">
      <w:pPr>
        <w:pStyle w:val="BodyText"/>
      </w:pPr>
      <w:r>
        <w:t xml:space="preserve">The first ESS data collection after the pandemic in Ireland occurred between November 2021 and August 2022. By this time, as shown in </w:t>
      </w:r>
      <w:hyperlink w:anchor="fig-unemp">
        <w:r>
          <w:rPr>
            <w:rStyle w:val="Hyperlink"/>
          </w:rPr>
          <w:t>Figure 4.3</w:t>
        </w:r>
      </w:hyperlink>
      <w:r>
        <w:t xml:space="preserve">, the unemployment rate was already returning to levels </w:t>
      </w:r>
      <w:proofErr w:type="gramStart"/>
      <w:r>
        <w:t>similar to</w:t>
      </w:r>
      <w:proofErr w:type="gramEnd"/>
      <w:r>
        <w:t xml:space="preserve"> the period before the start of the pandemic. The survey included a specific module on items related to respondents’ experiences during the pandemic. A sub-group of questions asked participants to indicate if any of the following happened to them </w:t>
      </w:r>
      <w:proofErr w:type="gramStart"/>
      <w:r>
        <w:t>as a result of</w:t>
      </w:r>
      <w:proofErr w:type="gramEnd"/>
      <w:r>
        <w:t xml:space="preserve"> the coronavirus pandemic:</w:t>
      </w:r>
    </w:p>
    <w:p w14:paraId="000B3003" w14:textId="77777777" w:rsidR="002B0E5A" w:rsidRDefault="00823BCA">
      <w:pPr>
        <w:pStyle w:val="BodyText"/>
      </w:pPr>
      <w:r>
        <w:rPr>
          <w:i/>
          <w:iCs/>
        </w:rPr>
        <w:t>I was made redundant/lost my job</w:t>
      </w:r>
    </w:p>
    <w:p w14:paraId="000B3004" w14:textId="77777777" w:rsidR="002B0E5A" w:rsidRDefault="00823BCA">
      <w:pPr>
        <w:pStyle w:val="BodyText"/>
      </w:pPr>
      <w:r>
        <w:rPr>
          <w:i/>
          <w:iCs/>
        </w:rPr>
        <w:t>I have not been in work at any time since the start of the pandemic</w:t>
      </w:r>
    </w:p>
    <w:p w14:paraId="000B3005" w14:textId="77777777" w:rsidR="002B0E5A" w:rsidRDefault="00823BCA">
      <w:pPr>
        <w:pStyle w:val="BodyText"/>
      </w:pPr>
      <w:r>
        <w:rPr>
          <w:i/>
          <w:iCs/>
        </w:rPr>
        <w:t>The income from my job was reduced</w:t>
      </w:r>
    </w:p>
    <w:p w14:paraId="000B3006" w14:textId="77777777" w:rsidR="002B0E5A" w:rsidRDefault="00823BCA">
      <w:pPr>
        <w:pStyle w:val="BodyText"/>
      </w:pPr>
      <w:r>
        <w:rPr>
          <w:i/>
          <w:iCs/>
        </w:rPr>
        <w:t>My working hours were reduced</w:t>
      </w:r>
    </w:p>
    <w:p w14:paraId="000B3007" w14:textId="77777777" w:rsidR="002B0E5A" w:rsidRDefault="00823BCA">
      <w:pPr>
        <w:pStyle w:val="BodyText"/>
      </w:pPr>
      <w:r>
        <w:rPr>
          <w:i/>
          <w:iCs/>
        </w:rPr>
        <w:t>I was furloughed</w:t>
      </w:r>
    </w:p>
    <w:p w14:paraId="000B3008" w14:textId="77777777" w:rsidR="002B0E5A" w:rsidRDefault="00823BCA">
      <w:pPr>
        <w:pStyle w:val="BodyText"/>
      </w:pPr>
      <w:r>
        <w:rPr>
          <w:i/>
          <w:iCs/>
        </w:rPr>
        <w:t>I was forced to take unpaid leave/holiday</w:t>
      </w:r>
    </w:p>
    <w:p w14:paraId="000B3009" w14:textId="77777777" w:rsidR="002B0E5A" w:rsidRDefault="00823BCA">
      <w:pPr>
        <w:pStyle w:val="BodyText"/>
      </w:pPr>
      <w:r>
        <w:rPr>
          <w:i/>
          <w:iCs/>
        </w:rPr>
        <w:t>None of these</w:t>
      </w:r>
    </w:p>
    <w:p w14:paraId="000B300A" w14:textId="32B4CCF3" w:rsidR="002B0E5A" w:rsidRDefault="00823BCA">
      <w:pPr>
        <w:pStyle w:val="BodyText"/>
      </w:pPr>
      <w:hyperlink w:anchor="fig-covid">
        <w:r>
          <w:rPr>
            <w:rStyle w:val="Hyperlink"/>
          </w:rPr>
          <w:t>Figure 4.10</w:t>
        </w:r>
      </w:hyperlink>
      <w:r>
        <w:t xml:space="preserve"> below shows the proportion of respondents who agree that the government should reduce differences in income by social class and personal impact of the pandemic. </w:t>
      </w:r>
      <w:proofErr w:type="gramStart"/>
      <w:r>
        <w:t>Overall</w:t>
      </w:r>
      <w:proofErr w:type="gramEnd"/>
      <w:r>
        <w:t xml:space="preserve">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W w:w="5000" w:type="pct"/>
        <w:tblLayout w:type="fixed"/>
        <w:tblLook w:val="0000" w:firstRow="0" w:lastRow="0" w:firstColumn="0" w:lastColumn="0" w:noHBand="0" w:noVBand="0"/>
      </w:tblPr>
      <w:tblGrid>
        <w:gridCol w:w="9026"/>
      </w:tblGrid>
      <w:tr w:rsidR="002B0E5A" w14:paraId="000B300D" w14:textId="77777777">
        <w:tc>
          <w:tcPr>
            <w:tcW w:w="7920" w:type="dxa"/>
          </w:tcPr>
          <w:p w14:paraId="000B300B" w14:textId="77777777" w:rsidR="002B0E5A" w:rsidRDefault="00823BCA">
            <w:pPr>
              <w:pStyle w:val="ImageCaption"/>
              <w:spacing w:before="200"/>
              <w:jc w:val="left"/>
            </w:pPr>
            <w:bookmarkStart w:id="79" w:name="fig-covid"/>
            <w:r>
              <w:lastRenderedPageBreak/>
              <w:t>Figure 4.10: Proportion of support for redistribution by social class and personal impact of the pandemic, Ireland, 2021</w:t>
            </w:r>
          </w:p>
          <w:p w14:paraId="000B300C" w14:textId="77777777" w:rsidR="002B0E5A" w:rsidRDefault="00823BCA">
            <w:pPr>
              <w:jc w:val="center"/>
            </w:pPr>
            <w:r>
              <w:rPr>
                <w:noProof/>
              </w:rPr>
              <w:drawing>
                <wp:inline distT="0" distB="0" distL="0" distR="0" wp14:anchorId="000B3067" wp14:editId="000B3068">
                  <wp:extent cx="5727700" cy="3579812"/>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img/fig_covid.png"/>
                          <pic:cNvPicPr>
                            <a:picLocks noChangeAspect="1" noChangeArrowheads="1"/>
                          </pic:cNvPicPr>
                        </pic:nvPicPr>
                        <pic:blipFill>
                          <a:blip r:embed="rId29"/>
                          <a:stretch>
                            <a:fillRect/>
                          </a:stretch>
                        </pic:blipFill>
                        <pic:spPr bwMode="auto">
                          <a:xfrm>
                            <a:off x="0" y="0"/>
                            <a:ext cx="5727700" cy="3579812"/>
                          </a:xfrm>
                          <a:prstGeom prst="rect">
                            <a:avLst/>
                          </a:prstGeom>
                          <a:noFill/>
                          <a:ln w="9525">
                            <a:noFill/>
                            <a:headEnd/>
                            <a:tailEnd/>
                          </a:ln>
                        </pic:spPr>
                      </pic:pic>
                    </a:graphicData>
                  </a:graphic>
                </wp:inline>
              </w:drawing>
            </w:r>
          </w:p>
        </w:tc>
        <w:bookmarkEnd w:id="79"/>
      </w:tr>
    </w:tbl>
    <w:p w14:paraId="000B300E" w14:textId="77777777" w:rsidR="002B0E5A" w:rsidRDefault="00823BCA">
      <w:pPr>
        <w:pStyle w:val="Heading1"/>
      </w:pPr>
      <w:bookmarkStart w:id="80" w:name="references"/>
      <w:bookmarkStart w:id="81" w:name="_Toc210752646"/>
      <w:bookmarkEnd w:id="77"/>
      <w:bookmarkEnd w:id="67"/>
      <w:bookmarkEnd w:id="58"/>
      <w:r>
        <w:t>References</w:t>
      </w:r>
      <w:bookmarkEnd w:id="81"/>
    </w:p>
    <w:p w14:paraId="000B300F" w14:textId="493220FF" w:rsidR="002B0E5A" w:rsidRDefault="00823BCA">
      <w:bookmarkStart w:id="82" w:name="ref-attewell_deservingness_2021"/>
      <w:bookmarkStart w:id="83" w:name="refs"/>
      <w:r>
        <w:t xml:space="preserve">Attewell, David. 2021. “Deservingness Perceptions, Welfare State Support and Vote Choice in Western Europe.” </w:t>
      </w:r>
      <w:r>
        <w:rPr>
          <w:i/>
          <w:iCs/>
        </w:rPr>
        <w:t>West European Politics</w:t>
      </w:r>
      <w:r>
        <w:t xml:space="preserve"> 44 (3): 611–34. </w:t>
      </w:r>
      <w:hyperlink r:id="rId30">
        <w:r>
          <w:rPr>
            <w:rStyle w:val="Hyperlink"/>
          </w:rPr>
          <w:t>https://doi.org/10.1080/01402382.2020.1715704</w:t>
        </w:r>
      </w:hyperlink>
      <w:r>
        <w:t>.</w:t>
      </w:r>
    </w:p>
    <w:p w14:paraId="000B3010" w14:textId="68E7C26F" w:rsidR="002B0E5A" w:rsidRDefault="00823BCA">
      <w:bookmarkStart w:id="84" w:name="ref-bonnet_what_2024"/>
      <w:bookmarkEnd w:id="82"/>
      <w:r>
        <w:t xml:space="preserve">Bonnet, Julien, Emanuele Ciani, Gianluca Grimalda, Fabrice Murtin, and David Pipke. 2024. “What Explains Preferences for </w:t>
      </w:r>
      <w:proofErr w:type="gramStart"/>
      <w:r>
        <w:t>Redistribution?:</w:t>
      </w:r>
      <w:proofErr w:type="gramEnd"/>
      <w:r>
        <w:t xml:space="preserve"> Evidence from an International Survey.” {OECD} {Papers} on {Well}-being and {Inequalities}. </w:t>
      </w:r>
      <w:hyperlink r:id="rId31">
        <w:r>
          <w:rPr>
            <w:rStyle w:val="Hyperlink"/>
          </w:rPr>
          <w:t>https://doi.org/10.1787/c0120dea-en</w:t>
        </w:r>
      </w:hyperlink>
      <w:r>
        <w:t>.</w:t>
      </w:r>
    </w:p>
    <w:p w14:paraId="000B3011" w14:textId="0D0EC7AA" w:rsidR="002B0E5A" w:rsidRDefault="00823BCA">
      <w:bookmarkStart w:id="85" w:name="ref-bremer_lower_2025"/>
      <w:bookmarkEnd w:id="84"/>
      <w:r>
        <w:t xml:space="preserve">Bremer, Björn, and Reto </w:t>
      </w:r>
      <w:proofErr w:type="spellStart"/>
      <w:r>
        <w:t>Bürgisser</w:t>
      </w:r>
      <w:proofErr w:type="spellEnd"/>
      <w:r>
        <w:t xml:space="preserve">. 2025. “Lower Taxes at All Costs? Evidence from a Survey Experiment in Four European Countries.” </w:t>
      </w:r>
      <w:r>
        <w:rPr>
          <w:i/>
          <w:iCs/>
        </w:rPr>
        <w:t>Journal of European Public Policy</w:t>
      </w:r>
      <w:r>
        <w:t xml:space="preserve"> 32 (5): 1225–52. </w:t>
      </w:r>
      <w:hyperlink r:id="rId32">
        <w:r>
          <w:rPr>
            <w:rStyle w:val="Hyperlink"/>
          </w:rPr>
          <w:t>https://doi.org/10.1080/13501763.2024.2333856</w:t>
        </w:r>
      </w:hyperlink>
      <w:r>
        <w:t>.</w:t>
      </w:r>
    </w:p>
    <w:p w14:paraId="000B3012" w14:textId="450D88A2" w:rsidR="002B0E5A" w:rsidRDefault="00823BCA">
      <w:bookmarkStart w:id="86" w:name="ref-breznau_moderating_2025"/>
      <w:bookmarkEnd w:id="85"/>
      <w:proofErr w:type="spellStart"/>
      <w:r>
        <w:t>Breznau</w:t>
      </w:r>
      <w:proofErr w:type="spellEnd"/>
      <w:r>
        <w:t xml:space="preserve">, Nate, Lisa Heukamp, Hung HV Nguyen, and Tom Knuf. 2025. “The Moderating Role of Government Heuristics in Public Preferences for Redistribution.” </w:t>
      </w:r>
      <w:r>
        <w:rPr>
          <w:i/>
          <w:iCs/>
        </w:rPr>
        <w:t>Journal of European Social Policy</w:t>
      </w:r>
      <w:r>
        <w:t xml:space="preserve"> 35 (1): 21–39. </w:t>
      </w:r>
      <w:hyperlink r:id="rId33">
        <w:r>
          <w:rPr>
            <w:rStyle w:val="Hyperlink"/>
          </w:rPr>
          <w:t>https://doi.org/10.1177/09589287241290742</w:t>
        </w:r>
      </w:hyperlink>
      <w:r>
        <w:t>.</w:t>
      </w:r>
    </w:p>
    <w:p w14:paraId="000B3013" w14:textId="2729A2F3" w:rsidR="002B0E5A" w:rsidRDefault="00823BCA">
      <w:bookmarkStart w:id="87" w:name="ref-bullock_predicting_2003"/>
      <w:bookmarkEnd w:id="86"/>
      <w:r>
        <w:t xml:space="preserve">Bullock, Heather E., Wendy R. Williams, and Wendy M. Limbert. 2003. “Predicting Support for Welfare Policies: The Impact of Attributions and Beliefs About Inequality.” </w:t>
      </w:r>
      <w:r>
        <w:rPr>
          <w:i/>
          <w:iCs/>
        </w:rPr>
        <w:t>Journal of Poverty</w:t>
      </w:r>
      <w:r>
        <w:t xml:space="preserve"> 7 (3): 35–56. </w:t>
      </w:r>
      <w:hyperlink r:id="rId34">
        <w:r>
          <w:rPr>
            <w:rStyle w:val="Hyperlink"/>
          </w:rPr>
          <w:t>https://doi.org/10.1300/j134v07n03_03</w:t>
        </w:r>
      </w:hyperlink>
      <w:r>
        <w:t>.</w:t>
      </w:r>
    </w:p>
    <w:p w14:paraId="000B3014" w14:textId="233CFA65" w:rsidR="002B0E5A" w:rsidRDefault="00823BCA">
      <w:bookmarkStart w:id="88" w:name="ref-buser_overconfidence_2020"/>
      <w:bookmarkEnd w:id="87"/>
      <w:r>
        <w:t xml:space="preserve">Buser, Thomas, Gianluca Grimalda, Louis Putterman, and Joël Van Der Weele. 2020. “Overconfidence and Gender Gaps in Redistributive Preferences: Cross-Country Experimental Evidence.” </w:t>
      </w:r>
      <w:r>
        <w:rPr>
          <w:i/>
          <w:iCs/>
        </w:rPr>
        <w:t xml:space="preserve">Journal of Economic </w:t>
      </w:r>
      <w:proofErr w:type="spellStart"/>
      <w:r>
        <w:rPr>
          <w:i/>
          <w:iCs/>
        </w:rPr>
        <w:t>Behavior</w:t>
      </w:r>
      <w:proofErr w:type="spellEnd"/>
      <w:r>
        <w:rPr>
          <w:i/>
          <w:iCs/>
        </w:rPr>
        <w:t xml:space="preserve"> &amp; Organization</w:t>
      </w:r>
      <w:r>
        <w:t xml:space="preserve"> 178 (October): 267–86. </w:t>
      </w:r>
      <w:hyperlink r:id="rId35">
        <w:r>
          <w:rPr>
            <w:rStyle w:val="Hyperlink"/>
          </w:rPr>
          <w:t>https://doi.org/10.1016/j.jebo.2020.07.005</w:t>
        </w:r>
      </w:hyperlink>
      <w:r>
        <w:t>.</w:t>
      </w:r>
    </w:p>
    <w:p w14:paraId="000B3015" w14:textId="4FAD7A05" w:rsidR="002B0E5A" w:rsidRDefault="00823BCA">
      <w:bookmarkStart w:id="89" w:name="ref-cappelen_solidarity_2021"/>
      <w:bookmarkEnd w:id="88"/>
      <w:r>
        <w:lastRenderedPageBreak/>
        <w:t xml:space="preserve">Cappelen, Alexander W., Ranveig Falch, Erik Ø. Sørensen, and Bertil </w:t>
      </w:r>
      <w:proofErr w:type="spellStart"/>
      <w:r>
        <w:t>Tungodden</w:t>
      </w:r>
      <w:proofErr w:type="spellEnd"/>
      <w:r>
        <w:t xml:space="preserve">. 2021. “Solidarity and Fairness in Times of Crisis.” </w:t>
      </w:r>
      <w:r>
        <w:rPr>
          <w:i/>
          <w:iCs/>
        </w:rPr>
        <w:t xml:space="preserve">Journal of Economic </w:t>
      </w:r>
      <w:proofErr w:type="spellStart"/>
      <w:r>
        <w:rPr>
          <w:i/>
          <w:iCs/>
        </w:rPr>
        <w:t>Behavior</w:t>
      </w:r>
      <w:proofErr w:type="spellEnd"/>
      <w:r>
        <w:rPr>
          <w:i/>
          <w:iCs/>
        </w:rPr>
        <w:t xml:space="preserve"> &amp; Organization</w:t>
      </w:r>
      <w:r>
        <w:t xml:space="preserve"> 186 (June): 1–11. </w:t>
      </w:r>
      <w:hyperlink r:id="rId36">
        <w:r>
          <w:rPr>
            <w:rStyle w:val="Hyperlink"/>
          </w:rPr>
          <w:t>https://doi.org/10.1016/j.jebo.2021.03.017</w:t>
        </w:r>
      </w:hyperlink>
      <w:r>
        <w:t>.</w:t>
      </w:r>
    </w:p>
    <w:p w14:paraId="000B3016" w14:textId="1C6F5991" w:rsidR="002B0E5A" w:rsidRDefault="00823BCA">
      <w:bookmarkStart w:id="90" w:name="ref-cavaille_fair_2025"/>
      <w:bookmarkEnd w:id="89"/>
      <w:proofErr w:type="spellStart"/>
      <w:r>
        <w:t>Cavaillé</w:t>
      </w:r>
      <w:proofErr w:type="spellEnd"/>
      <w:r>
        <w:t xml:space="preserve">, Charlotte. 2025. </w:t>
      </w:r>
      <w:r>
        <w:rPr>
          <w:i/>
          <w:iCs/>
        </w:rPr>
        <w:t xml:space="preserve">Fair </w:t>
      </w:r>
      <w:proofErr w:type="gramStart"/>
      <w:r>
        <w:rPr>
          <w:i/>
          <w:iCs/>
        </w:rPr>
        <w:t>Enough?:</w:t>
      </w:r>
      <w:proofErr w:type="gramEnd"/>
      <w:r>
        <w:rPr>
          <w:i/>
          <w:iCs/>
        </w:rPr>
        <w:t xml:space="preserve"> Support for Redistribution in the Age of Inequality</w:t>
      </w:r>
      <w:r>
        <w:t xml:space="preserve">. 1st ed. Cambridge University Press. </w:t>
      </w:r>
      <w:hyperlink r:id="rId37">
        <w:r>
          <w:rPr>
            <w:rStyle w:val="Hyperlink"/>
          </w:rPr>
          <w:t>https://doi.org/10.1017/9781009366038</w:t>
        </w:r>
      </w:hyperlink>
      <w:r>
        <w:t>.</w:t>
      </w:r>
    </w:p>
    <w:p w14:paraId="000B3017" w14:textId="05351C60" w:rsidR="002B0E5A" w:rsidRDefault="00823BCA">
      <w:bookmarkStart w:id="91" w:name="ref-chow_effect_2012"/>
      <w:bookmarkEnd w:id="90"/>
      <w:r>
        <w:t xml:space="preserve">Chow, Rosalind M., and Jeff Galak. 2012. “The Effect of Inequality Frames on Support for Redistributive Tax Policies.” </w:t>
      </w:r>
      <w:r>
        <w:rPr>
          <w:i/>
          <w:iCs/>
        </w:rPr>
        <w:t>Psychological Science</w:t>
      </w:r>
      <w:r>
        <w:t xml:space="preserve"> 23 (12): 1467–69. </w:t>
      </w:r>
      <w:hyperlink r:id="rId38">
        <w:r>
          <w:rPr>
            <w:rStyle w:val="Hyperlink"/>
          </w:rPr>
          <w:t>https://doi.org/10.1177/0956797612450035</w:t>
        </w:r>
      </w:hyperlink>
      <w:r>
        <w:t>.</w:t>
      </w:r>
    </w:p>
    <w:p w14:paraId="000B3018" w14:textId="27D3DC8B" w:rsidR="002B0E5A" w:rsidRDefault="00823BCA">
      <w:bookmarkStart w:id="92" w:name="ref-dallinger_ambivalence_2022"/>
      <w:bookmarkEnd w:id="91"/>
      <w:proofErr w:type="spellStart"/>
      <w:r>
        <w:t>Dallinger</w:t>
      </w:r>
      <w:proofErr w:type="spellEnd"/>
      <w:r>
        <w:t xml:space="preserve">, Ursula. 2022. “On the Ambivalence of Preferences for Income Redistribution: A Research Note.” </w:t>
      </w:r>
      <w:r>
        <w:rPr>
          <w:i/>
          <w:iCs/>
        </w:rPr>
        <w:t>Journal of European Social Policy</w:t>
      </w:r>
      <w:r>
        <w:t xml:space="preserve"> 32 (2): 225–36. </w:t>
      </w:r>
      <w:hyperlink r:id="rId39">
        <w:r>
          <w:rPr>
            <w:rStyle w:val="Hyperlink"/>
          </w:rPr>
          <w:t>https://doi.org/10.1177/09589287211066469</w:t>
        </w:r>
      </w:hyperlink>
      <w:r>
        <w:t>.</w:t>
      </w:r>
    </w:p>
    <w:p w14:paraId="000B3019" w14:textId="4777F7BA" w:rsidR="002B0E5A" w:rsidRDefault="00823BCA">
      <w:bookmarkStart w:id="93" w:name="ref-devereux_fake_2019"/>
      <w:bookmarkEnd w:id="92"/>
      <w:r>
        <w:t xml:space="preserve">Devereux, Eoin, and Martin J. Power. 2019. “Fake News? A Critical Analysis of the ‘Welfare Cheats, </w:t>
      </w:r>
      <w:r>
        <w:rPr>
          <w:i/>
          <w:iCs/>
        </w:rPr>
        <w:t xml:space="preserve">Cheat Us </w:t>
      </w:r>
      <w:proofErr w:type="gramStart"/>
      <w:r>
        <w:rPr>
          <w:i/>
          <w:iCs/>
        </w:rPr>
        <w:t>All</w:t>
      </w:r>
      <w:r>
        <w:t xml:space="preserve"> ’</w:t>
      </w:r>
      <w:proofErr w:type="gramEnd"/>
      <w:r>
        <w:t xml:space="preserve"> Campaign in Ireland.” </w:t>
      </w:r>
      <w:r>
        <w:rPr>
          <w:i/>
          <w:iCs/>
        </w:rPr>
        <w:t>Critical Discourse Studies</w:t>
      </w:r>
      <w:r>
        <w:t xml:space="preserve"> 16 (3): 347–62. </w:t>
      </w:r>
      <w:hyperlink r:id="rId40">
        <w:r>
          <w:rPr>
            <w:rStyle w:val="Hyperlink"/>
          </w:rPr>
          <w:t>https://doi.org/10.1080/17405904.2019.1568898</w:t>
        </w:r>
      </w:hyperlink>
      <w:r>
        <w:t>.</w:t>
      </w:r>
    </w:p>
    <w:p w14:paraId="000B301A" w14:textId="7BA4B4EB" w:rsidR="002B0E5A" w:rsidRDefault="00823BCA">
      <w:bookmarkStart w:id="94" w:name="ref-dunaiski_does_2025"/>
      <w:bookmarkEnd w:id="93"/>
      <w:r>
        <w:t xml:space="preserve">Dunaiski, Maurice, and Janne Tukiainen. 2025. “Does Income Transparency Affect Support for Redistribution? Evidence from Finland’s Tax Day.” </w:t>
      </w:r>
      <w:r>
        <w:rPr>
          <w:i/>
          <w:iCs/>
        </w:rPr>
        <w:t>The Journal of Politics</w:t>
      </w:r>
      <w:r>
        <w:t xml:space="preserve"> 87 (3): 823–37. </w:t>
      </w:r>
      <w:hyperlink r:id="rId41">
        <w:r>
          <w:rPr>
            <w:rStyle w:val="Hyperlink"/>
          </w:rPr>
          <w:t>https://doi.org/10.1086/732955</w:t>
        </w:r>
      </w:hyperlink>
      <w:r>
        <w:t>.</w:t>
      </w:r>
    </w:p>
    <w:p w14:paraId="000B301B" w14:textId="1A8804DD" w:rsidR="002B0E5A" w:rsidRDefault="00823BCA">
      <w:bookmarkStart w:id="95" w:name="ref-finseraas_income_2009"/>
      <w:bookmarkEnd w:id="94"/>
      <w:proofErr w:type="spellStart"/>
      <w:r>
        <w:t>Finseraas</w:t>
      </w:r>
      <w:proofErr w:type="spellEnd"/>
      <w:r>
        <w:t xml:space="preserve">, Henning. 2009. “Income Inequality and Demand for Redistribution: A Multilevel Analysis of European Public Opinion.” </w:t>
      </w:r>
      <w:r>
        <w:rPr>
          <w:i/>
          <w:iCs/>
        </w:rPr>
        <w:t>Scandinavian Political Studies</w:t>
      </w:r>
      <w:r>
        <w:t xml:space="preserve"> 32 (1): 94–119. </w:t>
      </w:r>
      <w:hyperlink r:id="rId42">
        <w:r>
          <w:rPr>
            <w:rStyle w:val="Hyperlink"/>
          </w:rPr>
          <w:t>https://doi.org/10.1111/j.1467-9477.2008.00211.x</w:t>
        </w:r>
      </w:hyperlink>
      <w:r>
        <w:t>.</w:t>
      </w:r>
    </w:p>
    <w:p w14:paraId="000B301C" w14:textId="03B0DA39" w:rsidR="002B0E5A" w:rsidRDefault="00823BCA">
      <w:bookmarkStart w:id="96" w:name="ref-garritzmann_gender_2021"/>
      <w:bookmarkEnd w:id="95"/>
      <w:r>
        <w:t xml:space="preserve">Garritzmann, Julian L., and Hanna Schwander. 2021. “Gender and Attitudes Toward Welfare State Reform: Are Women Really Social Investment Promoters?” </w:t>
      </w:r>
      <w:r>
        <w:rPr>
          <w:i/>
          <w:iCs/>
        </w:rPr>
        <w:t>Journal of European Social Policy</w:t>
      </w:r>
      <w:r>
        <w:t xml:space="preserve"> </w:t>
      </w:r>
      <w:r>
        <w:t xml:space="preserve">31 (3): 253–66. </w:t>
      </w:r>
      <w:hyperlink r:id="rId43">
        <w:r>
          <w:rPr>
            <w:rStyle w:val="Hyperlink"/>
          </w:rPr>
          <w:t>https://doi.org/10.1177/0958928720978012</w:t>
        </w:r>
      </w:hyperlink>
      <w:r>
        <w:t>.</w:t>
      </w:r>
    </w:p>
    <w:p w14:paraId="000B301D" w14:textId="354E1270" w:rsidR="002B0E5A" w:rsidRDefault="00823BCA">
      <w:bookmarkStart w:id="97" w:name="ref-giuliano_aggregate_2025"/>
      <w:bookmarkEnd w:id="96"/>
      <w:r>
        <w:t xml:space="preserve">Giuliano, Paola, and Antonio Spilimbergo. 2025. “Aggregate Shocks and the Formation of Preferences and Beliefs.” </w:t>
      </w:r>
      <w:r>
        <w:rPr>
          <w:i/>
          <w:iCs/>
        </w:rPr>
        <w:t>Journal of Economic Literature</w:t>
      </w:r>
      <w:r>
        <w:t xml:space="preserve"> 63 (2): 542–97. </w:t>
      </w:r>
      <w:hyperlink r:id="rId44">
        <w:r>
          <w:rPr>
            <w:rStyle w:val="Hyperlink"/>
          </w:rPr>
          <w:t>https://doi.org/10.1257/jel.20241674</w:t>
        </w:r>
      </w:hyperlink>
      <w:r>
        <w:t>.</w:t>
      </w:r>
    </w:p>
    <w:p w14:paraId="000B301E" w14:textId="44E35B99" w:rsidR="002B0E5A" w:rsidRDefault="00823BCA">
      <w:bookmarkStart w:id="98" w:name="ref-goerres_can_2012"/>
      <w:bookmarkEnd w:id="97"/>
      <w:proofErr w:type="spellStart"/>
      <w:r>
        <w:t>Goerres</w:t>
      </w:r>
      <w:proofErr w:type="spellEnd"/>
      <w:r>
        <w:t xml:space="preserve">, Achim, and Katrin Prinzen. 2012. “Can We Improve the Measurement of Attitudes Towards the Welfare State? A Constructive Critique of Survey Instruments with Evidence from Focus Groups.” </w:t>
      </w:r>
      <w:r>
        <w:rPr>
          <w:i/>
          <w:iCs/>
        </w:rPr>
        <w:t>Social Indicators Research</w:t>
      </w:r>
      <w:r>
        <w:t xml:space="preserve"> 109 (3): 515–34. </w:t>
      </w:r>
      <w:hyperlink r:id="rId45">
        <w:r>
          <w:rPr>
            <w:rStyle w:val="Hyperlink"/>
          </w:rPr>
          <w:t>https://doi.org/10.1007/s11205-011-9915-5</w:t>
        </w:r>
      </w:hyperlink>
      <w:r>
        <w:t>.</w:t>
      </w:r>
    </w:p>
    <w:p w14:paraId="000B301F" w14:textId="1A74D4A3" w:rsidR="002B0E5A" w:rsidRDefault="00823BCA">
      <w:bookmarkStart w:id="99" w:name="ref-gonnot_cultural_2023"/>
      <w:bookmarkEnd w:id="98"/>
      <w:proofErr w:type="spellStart"/>
      <w:r>
        <w:t>Gonnot</w:t>
      </w:r>
      <w:proofErr w:type="spellEnd"/>
      <w:r>
        <w:t xml:space="preserve">, </w:t>
      </w:r>
      <w:proofErr w:type="spellStart"/>
      <w:r>
        <w:t>Jérome</w:t>
      </w:r>
      <w:proofErr w:type="spellEnd"/>
      <w:r>
        <w:t xml:space="preserve">, and Federica lo Polito. 2023. “Cultural Transmission and Political Attitudes: Explaining Differences Between Natives and Immigrants in Western Europe.” Working {Papers} 2023-12. CEPII research </w:t>
      </w:r>
      <w:proofErr w:type="spellStart"/>
      <w:r>
        <w:t>center</w:t>
      </w:r>
      <w:proofErr w:type="spellEnd"/>
      <w:r>
        <w:t xml:space="preserve">. </w:t>
      </w:r>
      <w:hyperlink r:id="rId46">
        <w:r>
          <w:rPr>
            <w:rStyle w:val="Hyperlink"/>
          </w:rPr>
          <w:t>https://doi.org/None</w:t>
        </w:r>
      </w:hyperlink>
      <w:r>
        <w:t>.</w:t>
      </w:r>
    </w:p>
    <w:p w14:paraId="000B3020" w14:textId="2CD629A5" w:rsidR="002B0E5A" w:rsidRDefault="00823BCA">
      <w:bookmarkStart w:id="100" w:name="ref-goossen_gender_2020"/>
      <w:bookmarkEnd w:id="99"/>
      <w:r>
        <w:t xml:space="preserve">Goossen, Mikael. 2020. “The Gender Gap in Welfare State Attitudes in Europe: The Role of Unpaid Labour and Family Policy.” </w:t>
      </w:r>
      <w:r>
        <w:rPr>
          <w:i/>
          <w:iCs/>
        </w:rPr>
        <w:t>Journal of European Social Policy</w:t>
      </w:r>
      <w:r>
        <w:t xml:space="preserve"> 30 (4): 452–66. </w:t>
      </w:r>
      <w:hyperlink r:id="rId47">
        <w:r>
          <w:rPr>
            <w:rStyle w:val="Hyperlink"/>
          </w:rPr>
          <w:t>https://doi.org/10.1177/0958928719899337</w:t>
        </w:r>
      </w:hyperlink>
      <w:r>
        <w:t>.</w:t>
      </w:r>
    </w:p>
    <w:p w14:paraId="000B3021" w14:textId="735EDEB4" w:rsidR="002B0E5A" w:rsidRDefault="00823BCA">
      <w:bookmarkStart w:id="101" w:name="ref-grasso_are_2025"/>
      <w:bookmarkEnd w:id="100"/>
      <w:r>
        <w:t xml:space="preserve">Grasso, Maria, and Rosalind </w:t>
      </w:r>
      <w:proofErr w:type="spellStart"/>
      <w:r>
        <w:t>Shorrocks</w:t>
      </w:r>
      <w:proofErr w:type="spellEnd"/>
      <w:r>
        <w:t xml:space="preserve">. 2025. “Are New Generations of Women More Left-Wing Than Men? Generations and Gender Gaps in Attitudes to Inequality and Social Services.” </w:t>
      </w:r>
      <w:r>
        <w:rPr>
          <w:i/>
          <w:iCs/>
        </w:rPr>
        <w:t>Journal of European Public Policy</w:t>
      </w:r>
      <w:r>
        <w:t xml:space="preserve">, </w:t>
      </w:r>
      <w:proofErr w:type="gramStart"/>
      <w:r>
        <w:t>April,</w:t>
      </w:r>
      <w:proofErr w:type="gramEnd"/>
      <w:r>
        <w:t xml:space="preserve"> 1–28. </w:t>
      </w:r>
      <w:hyperlink r:id="rId48">
        <w:r>
          <w:rPr>
            <w:rStyle w:val="Hyperlink"/>
          </w:rPr>
          <w:t>https://doi.org/10.1080/13501763.2025.2490811</w:t>
        </w:r>
      </w:hyperlink>
      <w:r>
        <w:t>.</w:t>
      </w:r>
    </w:p>
    <w:p w14:paraId="000B3022" w14:textId="28E49D43" w:rsidR="002B0E5A" w:rsidRDefault="00823BCA">
      <w:bookmarkStart w:id="102" w:name="ref-hillen_rising_2025"/>
      <w:bookmarkEnd w:id="101"/>
      <w:r>
        <w:lastRenderedPageBreak/>
        <w:t xml:space="preserve">Hillen, Sven, and Nils D. Steiner. 2025. “Rising Inequality and Public Support for Redistribution.” </w:t>
      </w:r>
      <w:r>
        <w:rPr>
          <w:i/>
          <w:iCs/>
        </w:rPr>
        <w:t>European Journal of Political Research</w:t>
      </w:r>
      <w:r>
        <w:t xml:space="preserve"> 64 (1): 442–55. </w:t>
      </w:r>
      <w:hyperlink r:id="rId49">
        <w:r>
          <w:rPr>
            <w:rStyle w:val="Hyperlink"/>
          </w:rPr>
          <w:t>https://doi.org/10.1111/1475-6765.12696</w:t>
        </w:r>
      </w:hyperlink>
      <w:r>
        <w:t>.</w:t>
      </w:r>
    </w:p>
    <w:p w14:paraId="000B3023" w14:textId="5A4C616E" w:rsidR="002B0E5A" w:rsidRDefault="00823BCA">
      <w:bookmarkStart w:id="103" w:name="ref-hingre_gender_2024"/>
      <w:bookmarkEnd w:id="102"/>
      <w:proofErr w:type="spellStart"/>
      <w:r>
        <w:t>Hingre</w:t>
      </w:r>
      <w:proofErr w:type="spellEnd"/>
      <w:r>
        <w:t xml:space="preserve">, Garance, Helen Russell, Frances McGinnity, and Emer Smyth. 2024. “Gender and Labour Market Inclusion on the Island of Ireland.” Economic; Social Research Institute. </w:t>
      </w:r>
      <w:hyperlink r:id="rId50">
        <w:r>
          <w:rPr>
            <w:rStyle w:val="Hyperlink"/>
          </w:rPr>
          <w:t>https://doi.org/10.26504/rs176</w:t>
        </w:r>
      </w:hyperlink>
      <w:r>
        <w:t>.</w:t>
      </w:r>
    </w:p>
    <w:p w14:paraId="000B3024" w14:textId="7B3F8F06" w:rsidR="002B0E5A" w:rsidRDefault="00823BCA">
      <w:bookmarkStart w:id="104" w:name="ref-inglehart_cultural_2018"/>
      <w:bookmarkEnd w:id="103"/>
      <w:r>
        <w:t xml:space="preserve">Inglehart, Ronald F. 2018. </w:t>
      </w:r>
      <w:r>
        <w:rPr>
          <w:i/>
          <w:iCs/>
        </w:rPr>
        <w:t xml:space="preserve">Cultural Evolution: People’s Motivations Are </w:t>
      </w:r>
      <w:proofErr w:type="gramStart"/>
      <w:r>
        <w:rPr>
          <w:i/>
          <w:iCs/>
        </w:rPr>
        <w:t>Changing, and</w:t>
      </w:r>
      <w:proofErr w:type="gramEnd"/>
      <w:r>
        <w:rPr>
          <w:i/>
          <w:iCs/>
        </w:rPr>
        <w:t xml:space="preserve"> Reshaping the World</w:t>
      </w:r>
      <w:r>
        <w:t xml:space="preserve">. 1st ed. Cambridge University Press. </w:t>
      </w:r>
      <w:hyperlink r:id="rId51">
        <w:r>
          <w:rPr>
            <w:rStyle w:val="Hyperlink"/>
          </w:rPr>
          <w:t>https://doi.org/10.1017/9781108613880</w:t>
        </w:r>
      </w:hyperlink>
      <w:r>
        <w:t>.</w:t>
      </w:r>
    </w:p>
    <w:p w14:paraId="000B3025" w14:textId="62AF2BCC" w:rsidR="002B0E5A" w:rsidRDefault="00823BCA">
      <w:bookmarkStart w:id="105" w:name="ref-jaeger_does_2008"/>
      <w:bookmarkEnd w:id="104"/>
      <w:r>
        <w:t xml:space="preserve">Jaeger, M. M. 2008. “Does Left-Right Orientation Have a Causal Effect on Support for Redistribution? Causal Analysis with Cross-Sectional Data Using Instrumental Variables.” </w:t>
      </w:r>
      <w:r>
        <w:rPr>
          <w:i/>
          <w:iCs/>
        </w:rPr>
        <w:t>International Journal of Public Opinion Research</w:t>
      </w:r>
      <w:r>
        <w:t xml:space="preserve"> 20 (3): 363–74. </w:t>
      </w:r>
      <w:hyperlink r:id="rId52">
        <w:r>
          <w:rPr>
            <w:rStyle w:val="Hyperlink"/>
          </w:rPr>
          <w:t>https://doi.org/10.1093/ijpor/edn030</w:t>
        </w:r>
      </w:hyperlink>
      <w:r>
        <w:t>.</w:t>
      </w:r>
    </w:p>
    <w:p w14:paraId="000B3026" w14:textId="50C76AF0" w:rsidR="002B0E5A" w:rsidRDefault="00823BCA">
      <w:bookmarkStart w:id="106" w:name="ref-kulin_class_2013"/>
      <w:bookmarkEnd w:id="105"/>
      <w:r>
        <w:t xml:space="preserve">Kulin, J., and S. </w:t>
      </w:r>
      <w:proofErr w:type="spellStart"/>
      <w:r>
        <w:t>Svallfors</w:t>
      </w:r>
      <w:proofErr w:type="spellEnd"/>
      <w:r>
        <w:t xml:space="preserve">. 2013. “Class, Values, and Attitudes Towards Redistribution: A European Comparison.” </w:t>
      </w:r>
      <w:r>
        <w:rPr>
          <w:i/>
          <w:iCs/>
        </w:rPr>
        <w:t>European Sociological Review</w:t>
      </w:r>
      <w:r>
        <w:t xml:space="preserve"> 29 (2): 155–67. </w:t>
      </w:r>
      <w:hyperlink r:id="rId53">
        <w:r>
          <w:rPr>
            <w:rStyle w:val="Hyperlink"/>
          </w:rPr>
          <w:t>https://doi.org/10.1093/esr/jcr046</w:t>
        </w:r>
      </w:hyperlink>
      <w:r>
        <w:t>.</w:t>
      </w:r>
    </w:p>
    <w:p w14:paraId="000B3027" w14:textId="77C93805" w:rsidR="002B0E5A" w:rsidRDefault="00823BCA">
      <w:bookmarkStart w:id="107" w:name="ref-langsaether_more_2020"/>
      <w:bookmarkEnd w:id="106"/>
      <w:proofErr w:type="spellStart"/>
      <w:r>
        <w:t>Langsæther</w:t>
      </w:r>
      <w:proofErr w:type="spellEnd"/>
      <w:r>
        <w:t xml:space="preserve">, Peter Egge, and Geoffrey Evans. 2020. “More Than Self-Interest: Why Different Classes Have Different Attitudes to Income Inequality.” </w:t>
      </w:r>
      <w:r>
        <w:rPr>
          <w:i/>
          <w:iCs/>
        </w:rPr>
        <w:t>The British Journal of Sociology</w:t>
      </w:r>
      <w:r>
        <w:t xml:space="preserve"> 71 (4): 594–607. </w:t>
      </w:r>
      <w:hyperlink r:id="rId54">
        <w:r>
          <w:rPr>
            <w:rStyle w:val="Hyperlink"/>
          </w:rPr>
          <w:t>https://doi.org/10.1111/1468-4446.12747</w:t>
        </w:r>
      </w:hyperlink>
      <w:r>
        <w:t>.</w:t>
      </w:r>
    </w:p>
    <w:p w14:paraId="000B3028" w14:textId="5D0F477E" w:rsidR="002B0E5A" w:rsidRDefault="00823BCA">
      <w:bookmarkStart w:id="108" w:name="ref-lindqvist_eastern_2025"/>
      <w:bookmarkEnd w:id="107"/>
      <w:r>
        <w:t xml:space="preserve">Lindqvist, Jesper. 2025. “Eastern Europe Is No Exception: Acceptance of Inequality and Left–Right Politics.” </w:t>
      </w:r>
      <w:r>
        <w:rPr>
          <w:i/>
          <w:iCs/>
        </w:rPr>
        <w:t xml:space="preserve">Acta </w:t>
      </w:r>
      <w:proofErr w:type="spellStart"/>
      <w:r>
        <w:rPr>
          <w:i/>
          <w:iCs/>
        </w:rPr>
        <w:t>Politica</w:t>
      </w:r>
      <w:proofErr w:type="spellEnd"/>
      <w:r>
        <w:t xml:space="preserve"> 60 (3): 483–501. </w:t>
      </w:r>
      <w:hyperlink r:id="rId55">
        <w:r>
          <w:rPr>
            <w:rStyle w:val="Hyperlink"/>
          </w:rPr>
          <w:t>https://doi.org/10.1057/s41269-024-00332-y</w:t>
        </w:r>
      </w:hyperlink>
      <w:r>
        <w:t>.</w:t>
      </w:r>
    </w:p>
    <w:p w14:paraId="000B3029" w14:textId="7F71E8B3" w:rsidR="002B0E5A" w:rsidRDefault="00823BCA">
      <w:bookmarkStart w:id="109" w:name="ref-lupu_unequal_2023"/>
      <w:bookmarkEnd w:id="108"/>
      <w:r>
        <w:t xml:space="preserve">Lupu, Noam, and Jonas Pontusson, eds. 2023. </w:t>
      </w:r>
      <w:r>
        <w:rPr>
          <w:i/>
          <w:iCs/>
        </w:rPr>
        <w:t>Unequal Democracies: Public Policy, Responsiveness, and Redistribution in an Era of Rising Economic Inequality</w:t>
      </w:r>
      <w:r>
        <w:t xml:space="preserve">. 1st ed. Cambridge University Press. </w:t>
      </w:r>
      <w:hyperlink r:id="rId56">
        <w:r>
          <w:rPr>
            <w:rStyle w:val="Hyperlink"/>
          </w:rPr>
          <w:t>https://doi.org/10.1017/9781009428682</w:t>
        </w:r>
      </w:hyperlink>
      <w:r>
        <w:t>.</w:t>
      </w:r>
    </w:p>
    <w:p w14:paraId="000B302A" w14:textId="22F833C9" w:rsidR="002B0E5A" w:rsidRDefault="00823BCA">
      <w:bookmarkStart w:id="110" w:name="ref-margalit_does_2024"/>
      <w:bookmarkEnd w:id="109"/>
      <w:r>
        <w:t xml:space="preserve">Margalit, Yotam, and Shir Raviv. 2024. “Does Support for Redistribution Mean What We Think It Means?” </w:t>
      </w:r>
      <w:r>
        <w:rPr>
          <w:i/>
          <w:iCs/>
        </w:rPr>
        <w:t>Political Science Research and Methods</w:t>
      </w:r>
      <w:r>
        <w:t xml:space="preserve"> 12 (4): 870–78. </w:t>
      </w:r>
      <w:hyperlink r:id="rId57">
        <w:r>
          <w:rPr>
            <w:rStyle w:val="Hyperlink"/>
          </w:rPr>
          <w:t>https://doi.org/10.1017/psrm.2023.57</w:t>
        </w:r>
      </w:hyperlink>
      <w:r>
        <w:t>.</w:t>
      </w:r>
    </w:p>
    <w:p w14:paraId="000B302B" w14:textId="175AEC8A" w:rsidR="002B0E5A" w:rsidRDefault="00823BCA">
      <w:bookmarkStart w:id="111" w:name="ref-meltzer_rational_1981"/>
      <w:bookmarkEnd w:id="110"/>
      <w:r>
        <w:t xml:space="preserve">Meltzer, Allan H., and Scott F. Richard. 1981. “A Rational Theory of the Size of Government.” </w:t>
      </w:r>
      <w:r>
        <w:rPr>
          <w:i/>
          <w:iCs/>
        </w:rPr>
        <w:t>Journal of Political Economy</w:t>
      </w:r>
      <w:r>
        <w:t xml:space="preserve"> 89 (5): 914–27. </w:t>
      </w:r>
      <w:hyperlink r:id="rId58">
        <w:r>
          <w:rPr>
            <w:rStyle w:val="Hyperlink"/>
          </w:rPr>
          <w:t>https://doi.org/10.1086/261013</w:t>
        </w:r>
      </w:hyperlink>
      <w:r>
        <w:t>.</w:t>
      </w:r>
    </w:p>
    <w:p w14:paraId="000B302C" w14:textId="77777777" w:rsidR="002B0E5A" w:rsidRDefault="00823BCA">
      <w:bookmarkStart w:id="112" w:name="ref-meuleman_past_2018"/>
      <w:bookmarkEnd w:id="111"/>
      <w:r>
        <w:t xml:space="preserve">Meuleman, Bart, Wim Van Oorschot, Dimitri Gugushvili, Sharon Baute, Sam Delespaul, Tijs Laenen, Femke Roosma, and Federica Rossetti. 2018. “The Past, Present and Future of European Welfare Attitudes: Topline Results from Round 8 of the European Social Survey.” </w:t>
      </w:r>
      <w:r>
        <w:rPr>
          <w:i/>
          <w:iCs/>
        </w:rPr>
        <w:t>ESS Topline Series</w:t>
      </w:r>
      <w:r>
        <w:t>.</w:t>
      </w:r>
    </w:p>
    <w:p w14:paraId="000B302D" w14:textId="784938D0" w:rsidR="002B0E5A" w:rsidRDefault="00823BCA">
      <w:bookmarkStart w:id="113" w:name="ref-munoz_unexpected_2020"/>
      <w:bookmarkEnd w:id="112"/>
      <w:r>
        <w:t xml:space="preserve">Muñoz, Jordi, Albert Falcó-Gimeno, and Enrique Hernández. 2020. “Unexpected Event During Survey Design: Promise and Pitfalls for Causal Inference.” </w:t>
      </w:r>
      <w:r>
        <w:rPr>
          <w:i/>
          <w:iCs/>
        </w:rPr>
        <w:t>Political Analysis</w:t>
      </w:r>
      <w:r>
        <w:t xml:space="preserve"> 28 (2): 186–206. </w:t>
      </w:r>
      <w:hyperlink r:id="rId59">
        <w:r>
          <w:rPr>
            <w:rStyle w:val="Hyperlink"/>
          </w:rPr>
          <w:t>https://doi.org/10.1017/pan.2019.27</w:t>
        </w:r>
      </w:hyperlink>
      <w:r>
        <w:t>.</w:t>
      </w:r>
    </w:p>
    <w:p w14:paraId="000B302E" w14:textId="4C7055C9" w:rsidR="002B0E5A" w:rsidRDefault="00823BCA">
      <w:bookmarkStart w:id="114" w:name="ref-nunnari_meta-analysis_2022"/>
      <w:bookmarkEnd w:id="113"/>
      <w:r>
        <w:t xml:space="preserve">Nunnari, Salvatore, and Massimiliano Pozzi. 2022. “Meta-Analysis of Inequality Aversion Estimates.” {SSRN} {Scholarly} {Paper}. Rochester, NY: Social Science Research Network. </w:t>
      </w:r>
      <w:hyperlink r:id="rId60">
        <w:r>
          <w:rPr>
            <w:rStyle w:val="Hyperlink"/>
          </w:rPr>
          <w:t>https://doi.org/10.2139/ssrn.4169385</w:t>
        </w:r>
      </w:hyperlink>
      <w:r>
        <w:t>.</w:t>
      </w:r>
    </w:p>
    <w:p w14:paraId="000B302F" w14:textId="3942B672" w:rsidR="002B0E5A" w:rsidRDefault="00823BCA">
      <w:bookmarkStart w:id="115" w:name="ref-oesch_coming_2006"/>
      <w:bookmarkEnd w:id="114"/>
      <w:r>
        <w:t xml:space="preserve">Oesch, Daniel. 2006. “Coming to Grips with a Changing Class Structure: An Analysis of Employment Stratification in Britain, Germany, Sweden and Switzerland.” </w:t>
      </w:r>
      <w:r>
        <w:rPr>
          <w:i/>
          <w:iCs/>
        </w:rPr>
        <w:t>International Sociology</w:t>
      </w:r>
      <w:r>
        <w:t xml:space="preserve"> 21 (2): 263–88. </w:t>
      </w:r>
      <w:hyperlink r:id="rId61">
        <w:r>
          <w:rPr>
            <w:rStyle w:val="Hyperlink"/>
          </w:rPr>
          <w:t>https://doi.org/10.1177/0268580906061379</w:t>
        </w:r>
      </w:hyperlink>
      <w:r>
        <w:t>.</w:t>
      </w:r>
    </w:p>
    <w:p w14:paraId="000B3030" w14:textId="77777777" w:rsidR="002B0E5A" w:rsidRDefault="00823BCA">
      <w:bookmarkStart w:id="116" w:name="ref-van_oorschot_social_2017"/>
      <w:bookmarkEnd w:id="115"/>
      <w:r>
        <w:lastRenderedPageBreak/>
        <w:t xml:space="preserve">Oorschot, Wim van, and Femke Roosma. 2017. </w:t>
      </w:r>
      <w:r>
        <w:t>“The Social Legitimacy of Differently Targeted Benefits.”</w:t>
      </w:r>
    </w:p>
    <w:p w14:paraId="000B3031" w14:textId="677419AB" w:rsidR="002B0E5A" w:rsidRDefault="00823BCA">
      <w:bookmarkStart w:id="117" w:name="ref-power_framing_2022"/>
      <w:bookmarkEnd w:id="116"/>
      <w:r>
        <w:t xml:space="preserve">Power, Martin J., Eoin Devereux, and Majka Ryan. 2022. “Framing and Shaming: The 2017 Welfare Cheats, Cheat Us All Campaign.” </w:t>
      </w:r>
      <w:r>
        <w:rPr>
          <w:i/>
          <w:iCs/>
        </w:rPr>
        <w:t>Social Policy and Society</w:t>
      </w:r>
      <w:r>
        <w:t xml:space="preserve"> 21 (4): 646–56. </w:t>
      </w:r>
      <w:hyperlink r:id="rId62">
        <w:r>
          <w:rPr>
            <w:rStyle w:val="Hyperlink"/>
          </w:rPr>
          <w:t>https://doi.org/10.1017/S1474746422000082</w:t>
        </w:r>
      </w:hyperlink>
      <w:r>
        <w:t>.</w:t>
      </w:r>
    </w:p>
    <w:p w14:paraId="000B3032" w14:textId="4AA0ACC8" w:rsidR="002B0E5A" w:rsidRDefault="00823BCA">
      <w:bookmarkStart w:id="118" w:name="ref-roantree_poverty_2025"/>
      <w:bookmarkEnd w:id="117"/>
      <w:r>
        <w:t xml:space="preserve">Roantree, Barra, Helen Russell, Anousheh Alamir, </w:t>
      </w:r>
      <w:proofErr w:type="spellStart"/>
      <w:r>
        <w:t>Míde</w:t>
      </w:r>
      <w:proofErr w:type="spellEnd"/>
      <w:r>
        <w:t xml:space="preserve"> Griffin, Bertrand Maître, and Tara Mitchell. 2025. “Poverty, Income Inequality and Living Standards in Ireland: Fifth Annual Report.” ESRI. </w:t>
      </w:r>
      <w:hyperlink r:id="rId63">
        <w:r>
          <w:rPr>
            <w:rStyle w:val="Hyperlink"/>
          </w:rPr>
          <w:t>https://doi.org/10.26504/jr14</w:t>
        </w:r>
      </w:hyperlink>
      <w:r>
        <w:t>.</w:t>
      </w:r>
    </w:p>
    <w:p w14:paraId="000B3033" w14:textId="617E5E7A" w:rsidR="002B0E5A" w:rsidRDefault="00823BCA">
      <w:bookmarkStart w:id="119" w:name="ref-rosset_unevenly_2025"/>
      <w:bookmarkEnd w:id="118"/>
      <w:r>
        <w:t xml:space="preserve">Rosset, Jan, Jérémie Poltier, and Jonas Pontusson. 2025. “Unevenly Unequal Responsiveness: Public Opinion and Redistributive Policy Shifts in Western Europe Since 2008.” </w:t>
      </w:r>
      <w:r>
        <w:rPr>
          <w:i/>
          <w:iCs/>
        </w:rPr>
        <w:t>Politics &amp; Society</w:t>
      </w:r>
      <w:r>
        <w:t xml:space="preserve"> 53 (2): 243–73. </w:t>
      </w:r>
      <w:hyperlink r:id="rId64">
        <w:r>
          <w:rPr>
            <w:rStyle w:val="Hyperlink"/>
          </w:rPr>
          <w:t>https://doi.org/10.1177/00323292241283293</w:t>
        </w:r>
      </w:hyperlink>
      <w:r>
        <w:t>.</w:t>
      </w:r>
    </w:p>
    <w:p w14:paraId="000B3034" w14:textId="1175F741" w:rsidR="002B0E5A" w:rsidRDefault="00823BCA">
      <w:bookmarkStart w:id="120" w:name="ref-shorrocks_attitudinal_2020"/>
      <w:bookmarkEnd w:id="119"/>
      <w:proofErr w:type="spellStart"/>
      <w:r>
        <w:t>Shorrocks</w:t>
      </w:r>
      <w:proofErr w:type="spellEnd"/>
      <w:r>
        <w:t xml:space="preserve">, Rosalind, and Maria T. Grasso. 2020. “The Attitudinal Gender Gap Across Generations: Support for Redistribution and Government Spending in Contexts of High and Low Welfare Provision.” </w:t>
      </w:r>
      <w:r>
        <w:rPr>
          <w:i/>
          <w:iCs/>
        </w:rPr>
        <w:t>European Political Science Review</w:t>
      </w:r>
      <w:r>
        <w:t xml:space="preserve"> 12 (3): 289–306. </w:t>
      </w:r>
      <w:hyperlink r:id="rId65">
        <w:r>
          <w:rPr>
            <w:rStyle w:val="Hyperlink"/>
          </w:rPr>
          <w:t>https://doi.org/10.1017/S1755773920000120</w:t>
        </w:r>
      </w:hyperlink>
      <w:r>
        <w:t>.</w:t>
      </w:r>
    </w:p>
    <w:p w14:paraId="000B3035" w14:textId="5EDFEA0A" w:rsidR="002B0E5A" w:rsidRDefault="00823BCA">
      <w:bookmarkStart w:id="121" w:name="ref-steele_attitudes_2019"/>
      <w:bookmarkEnd w:id="120"/>
      <w:r>
        <w:t xml:space="preserve">Steele, Liza G., and Nate Breznau. 2019. “Attitudes Toward Redistributive Policy: An Introduction.” </w:t>
      </w:r>
      <w:r>
        <w:rPr>
          <w:i/>
          <w:iCs/>
        </w:rPr>
        <w:t>Societies</w:t>
      </w:r>
      <w:r>
        <w:t xml:space="preserve"> 9 (3): 50. </w:t>
      </w:r>
      <w:hyperlink r:id="rId66">
        <w:r>
          <w:rPr>
            <w:rStyle w:val="Hyperlink"/>
          </w:rPr>
          <w:t>https://doi.org/10.3390/soc9030050</w:t>
        </w:r>
      </w:hyperlink>
      <w:r>
        <w:t>.</w:t>
      </w:r>
    </w:p>
    <w:p w14:paraId="000B3036" w14:textId="78495284" w:rsidR="002B0E5A" w:rsidRDefault="00823BCA">
      <w:bookmarkStart w:id="122" w:name="ref-steele_wealth_2022"/>
      <w:bookmarkEnd w:id="121"/>
      <w:r>
        <w:t xml:space="preserve">Steele, Liza G., Joseph Nathan Cohen, and Joseph R. Van Der Naald. 2022. “Wealth, Income, and Preferences for Redistribution: Evidence from 30 Countries.” </w:t>
      </w:r>
      <w:r>
        <w:rPr>
          <w:i/>
          <w:iCs/>
        </w:rPr>
        <w:t>Social Science Research</w:t>
      </w:r>
      <w:r>
        <w:t xml:space="preserve"> 108 (November): 102746. </w:t>
      </w:r>
      <w:hyperlink r:id="rId67">
        <w:r>
          <w:rPr>
            <w:rStyle w:val="Hyperlink"/>
          </w:rPr>
          <w:t>https://doi.org/10.1016/j.ssresearch.2022.102746</w:t>
        </w:r>
      </w:hyperlink>
      <w:r>
        <w:t>.</w:t>
      </w:r>
    </w:p>
    <w:p w14:paraId="000B3037" w14:textId="14EF1878" w:rsidR="002B0E5A" w:rsidRDefault="00823BCA">
      <w:bookmarkStart w:id="123" w:name="ref-svallfors_contested_2012"/>
      <w:bookmarkEnd w:id="122"/>
      <w:r>
        <w:t xml:space="preserve">Svallfors, Stefan, ed. 2012. </w:t>
      </w:r>
      <w:r>
        <w:rPr>
          <w:i/>
          <w:iCs/>
        </w:rPr>
        <w:t>Contested Welfare States: Welfare Attitudes in Europe and Beyond</w:t>
      </w:r>
      <w:r>
        <w:t xml:space="preserve">. Stanford University Press. </w:t>
      </w:r>
      <w:hyperlink r:id="rId68">
        <w:r>
          <w:rPr>
            <w:rStyle w:val="Hyperlink"/>
          </w:rPr>
          <w:t>https://doi.org/10.11126/stanford/9780804782524.001.0001</w:t>
        </w:r>
      </w:hyperlink>
      <w:r>
        <w:t>.</w:t>
      </w:r>
    </w:p>
    <w:p w14:paraId="000B3038" w14:textId="6375231C" w:rsidR="002B0E5A" w:rsidRDefault="00823BCA">
      <w:bookmarkStart w:id="124" w:name="ref-tawfik_script_2020"/>
      <w:bookmarkEnd w:id="123"/>
      <w:r>
        <w:t xml:space="preserve">Tawfik, Amal, and Daniel Oesch. 2020. “Script to Construct an Indicator of Social Class in the ESS.” </w:t>
      </w:r>
      <w:r>
        <w:rPr>
          <w:i/>
          <w:iCs/>
        </w:rPr>
        <w:t>Https://Www. Europeansocialsurvey. Org/Docs/Shared_user_resources/Oesch/Oesch_social_class_schema. Zip (Zugegriffen Am 11.11. 2021)</w:t>
      </w:r>
      <w:r>
        <w:t xml:space="preserve">. </w:t>
      </w:r>
      <w:hyperlink r:id="rId69">
        <w:r>
          <w:rPr>
            <w:rStyle w:val="Hyperlink"/>
          </w:rPr>
          <w:t>https://scholar.google.com/scholar?cluster=14780777134980176311&amp;hl=en&amp;oi=scholarr</w:t>
        </w:r>
      </w:hyperlink>
      <w:r>
        <w:t>.</w:t>
      </w:r>
    </w:p>
    <w:p w14:paraId="000B3039" w14:textId="28E42419" w:rsidR="002B0E5A" w:rsidRDefault="00823BCA">
      <w:bookmarkStart w:id="125" w:name="ref-van_hootegem_wave_2023"/>
      <w:bookmarkEnd w:id="124"/>
      <w:r>
        <w:t xml:space="preserve">Van Hootegem, Arno, and Tijs Laenen. 2023. “A Wave of Support? A Natural Experiment on How the COVID-19 Pandemic Affected the Popularity of a Basic Income.” </w:t>
      </w:r>
      <w:r>
        <w:rPr>
          <w:i/>
          <w:iCs/>
        </w:rPr>
        <w:t>Acta Politica</w:t>
      </w:r>
      <w:r>
        <w:t xml:space="preserve"> 58 (3): 695–713. </w:t>
      </w:r>
      <w:hyperlink r:id="rId70">
        <w:r>
          <w:rPr>
            <w:rStyle w:val="Hyperlink"/>
          </w:rPr>
          <w:t>https://doi.org/10.1057/s41269-022-00260-9</w:t>
        </w:r>
      </w:hyperlink>
      <w:r>
        <w:t>.</w:t>
      </w:r>
    </w:p>
    <w:p w14:paraId="000B303A" w14:textId="48A1B7C4" w:rsidR="002B0E5A" w:rsidRDefault="00823BCA">
      <w:bookmarkStart w:id="126" w:name="ref-velev_economic_2024"/>
      <w:bookmarkEnd w:id="125"/>
      <w:r>
        <w:t xml:space="preserve">Velev, Valentin, and Alexander W Schmidt-Catran. 2024. “Economic Inequality and Public Support for Redistribution in Europe: A Cross-Sectional and Longitudinal Multilevel Analysis.” </w:t>
      </w:r>
      <w:r>
        <w:rPr>
          <w:i/>
          <w:iCs/>
        </w:rPr>
        <w:t>International Journal of Public Opinion Research</w:t>
      </w:r>
      <w:r>
        <w:t xml:space="preserve"> 36 (4): edae055. </w:t>
      </w:r>
      <w:hyperlink r:id="rId71">
        <w:r>
          <w:rPr>
            <w:rStyle w:val="Hyperlink"/>
          </w:rPr>
          <w:t>https://doi.org/10.1093/ijpor/edae055</w:t>
        </w:r>
      </w:hyperlink>
      <w:r>
        <w:t>.</w:t>
      </w:r>
    </w:p>
    <w:bookmarkEnd w:id="126"/>
    <w:bookmarkEnd w:id="83"/>
    <w:bookmarkEnd w:id="80"/>
    <w:sectPr w:rsidR="002B0E5A" w:rsidSect="00CD34E2">
      <w:pgSz w:w="11906" w:h="16838"/>
      <w:pgMar w:top="1440" w:right="1440" w:bottom="851"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B306D" w14:textId="77777777" w:rsidR="00823BCA" w:rsidRDefault="00823BCA">
      <w:pPr>
        <w:spacing w:after="0" w:line="240" w:lineRule="auto"/>
      </w:pPr>
      <w:r>
        <w:separator/>
      </w:r>
    </w:p>
  </w:endnote>
  <w:endnote w:type="continuationSeparator" w:id="0">
    <w:p w14:paraId="000B306F" w14:textId="77777777" w:rsidR="00823BCA" w:rsidRDefault="00823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B3069" w14:textId="77777777" w:rsidR="00823BCA" w:rsidRDefault="00823BCA">
      <w:pPr>
        <w:spacing w:after="0" w:line="240" w:lineRule="auto"/>
      </w:pPr>
      <w:r>
        <w:separator/>
      </w:r>
    </w:p>
  </w:footnote>
  <w:footnote w:type="continuationSeparator" w:id="0">
    <w:p w14:paraId="000B306B" w14:textId="77777777" w:rsidR="00823BCA" w:rsidRDefault="00823BCA">
      <w:pPr>
        <w:spacing w:after="0" w:line="240" w:lineRule="auto"/>
      </w:pPr>
      <w:r>
        <w:continuationSeparator/>
      </w:r>
    </w:p>
  </w:footnote>
  <w:footnote w:id="1">
    <w:p w14:paraId="000B3069" w14:textId="77777777" w:rsidR="002B0E5A" w:rsidRDefault="00823BCA">
      <w:pPr>
        <w:pStyle w:val="FootnoteText"/>
      </w:pPr>
      <w:r>
        <w:footnoteRef/>
      </w:r>
      <w:r>
        <w:t xml:space="preserve"> For more info, visit https://www.europeansocialsurvey.org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B621DD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1318CB7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0BD68D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E8F41EB"/>
    <w:multiLevelType w:val="hybridMultilevel"/>
    <w:tmpl w:val="DA548BE2"/>
    <w:lvl w:ilvl="0" w:tplc="C72A2268">
      <w:start w:val="1"/>
      <w:numFmt w:val="bullet"/>
      <w:lvlText w:val=""/>
      <w:lvlJc w:val="left"/>
      <w:pPr>
        <w:ind w:left="720" w:hanging="360"/>
      </w:pPr>
      <w:rPr>
        <w:rFonts w:ascii="Symbol" w:hAnsi="Symbol" w:hint="default"/>
        <w:color w:val="365F91" w:themeColor="accent1" w:themeShade="BF"/>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991B4C"/>
    <w:multiLevelType w:val="hybridMultilevel"/>
    <w:tmpl w:val="6D2EFAF0"/>
    <w:lvl w:ilvl="0" w:tplc="AE6CCF9E">
      <w:start w:val="1"/>
      <w:numFmt w:val="bullet"/>
      <w:lvlText w:val=""/>
      <w:lvlJc w:val="left"/>
      <w:pPr>
        <w:ind w:left="1211" w:hanging="360"/>
      </w:pPr>
      <w:rPr>
        <w:rFonts w:ascii="Symbol" w:hAnsi="Symbol" w:hint="default"/>
        <w:color w:val="365F91"/>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11F6071"/>
    <w:multiLevelType w:val="hybridMultilevel"/>
    <w:tmpl w:val="3524EE02"/>
    <w:lvl w:ilvl="0" w:tplc="4CC80486">
      <w:start w:val="1"/>
      <w:numFmt w:val="bullet"/>
      <w:pStyle w:val="RSBullets"/>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97A70DF"/>
    <w:multiLevelType w:val="hybridMultilevel"/>
    <w:tmpl w:val="F566F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C4B3EA6"/>
    <w:multiLevelType w:val="hybridMultilevel"/>
    <w:tmpl w:val="699E4FF8"/>
    <w:lvl w:ilvl="0" w:tplc="2C842124">
      <w:start w:val="1"/>
      <w:numFmt w:val="bullet"/>
      <w:lvlText w:val=""/>
      <w:lvlJc w:val="left"/>
      <w:pPr>
        <w:ind w:left="1571" w:hanging="360"/>
      </w:pPr>
      <w:rPr>
        <w:rFonts w:ascii="Symbol" w:hAnsi="Symbol" w:hint="default"/>
        <w:color w:val="1F355E"/>
      </w:rPr>
    </w:lvl>
    <w:lvl w:ilvl="1" w:tplc="2C842124">
      <w:start w:val="1"/>
      <w:numFmt w:val="bullet"/>
      <w:lvlText w:val=""/>
      <w:lvlJc w:val="left"/>
      <w:pPr>
        <w:ind w:left="1440" w:hanging="360"/>
      </w:pPr>
      <w:rPr>
        <w:rFonts w:ascii="Symbol" w:hAnsi="Symbol" w:hint="default"/>
        <w:color w:val="1F355E"/>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881668276">
    <w:abstractNumId w:val="3"/>
  </w:num>
  <w:num w:numId="2" w16cid:durableId="68040635">
    <w:abstractNumId w:val="3"/>
  </w:num>
  <w:num w:numId="3" w16cid:durableId="1002702445">
    <w:abstractNumId w:val="4"/>
  </w:num>
  <w:num w:numId="4" w16cid:durableId="682975494">
    <w:abstractNumId w:val="7"/>
  </w:num>
  <w:num w:numId="5" w16cid:durableId="241259781">
    <w:abstractNumId w:val="5"/>
    <w:lvlOverride w:ilvl="0">
      <w:lvl w:ilvl="0" w:tplc="4CC80486">
        <w:start w:val="1"/>
        <w:numFmt w:val="bullet"/>
        <w:pStyle w:val="RSBullets"/>
        <w:lvlText w:val=""/>
        <w:lvlJc w:val="left"/>
        <w:pPr>
          <w:ind w:left="1211" w:hanging="360"/>
        </w:pPr>
        <w:rPr>
          <w:rFonts w:ascii="Symbol" w:hAnsi="Symbol" w:hint="default"/>
          <w:color w:val="1F355F"/>
        </w:rPr>
      </w:lvl>
    </w:lvlOverride>
    <w:lvlOverride w:ilvl="1">
      <w:lvl w:ilvl="1" w:tplc="18090003" w:tentative="1">
        <w:start w:val="1"/>
        <w:numFmt w:val="bullet"/>
        <w:lvlText w:val="o"/>
        <w:lvlJc w:val="left"/>
        <w:pPr>
          <w:ind w:left="1931" w:hanging="360"/>
        </w:pPr>
        <w:rPr>
          <w:rFonts w:ascii="Courier New" w:hAnsi="Courier New" w:cs="Courier New" w:hint="default"/>
        </w:rPr>
      </w:lvl>
    </w:lvlOverride>
    <w:lvlOverride w:ilvl="2">
      <w:lvl w:ilvl="2" w:tplc="18090005" w:tentative="1">
        <w:start w:val="1"/>
        <w:numFmt w:val="bullet"/>
        <w:lvlText w:val=""/>
        <w:lvlJc w:val="left"/>
        <w:pPr>
          <w:ind w:left="2651" w:hanging="360"/>
        </w:pPr>
        <w:rPr>
          <w:rFonts w:ascii="Wingdings" w:hAnsi="Wingdings" w:hint="default"/>
        </w:rPr>
      </w:lvl>
    </w:lvlOverride>
    <w:lvlOverride w:ilvl="3">
      <w:lvl w:ilvl="3" w:tplc="18090001" w:tentative="1">
        <w:start w:val="1"/>
        <w:numFmt w:val="bullet"/>
        <w:lvlText w:val=""/>
        <w:lvlJc w:val="left"/>
        <w:pPr>
          <w:ind w:left="3371" w:hanging="360"/>
        </w:pPr>
        <w:rPr>
          <w:rFonts w:ascii="Symbol" w:hAnsi="Symbol" w:hint="default"/>
        </w:rPr>
      </w:lvl>
    </w:lvlOverride>
    <w:lvlOverride w:ilvl="4">
      <w:lvl w:ilvl="4" w:tplc="18090003" w:tentative="1">
        <w:start w:val="1"/>
        <w:numFmt w:val="bullet"/>
        <w:lvlText w:val="o"/>
        <w:lvlJc w:val="left"/>
        <w:pPr>
          <w:ind w:left="4091" w:hanging="360"/>
        </w:pPr>
        <w:rPr>
          <w:rFonts w:ascii="Courier New" w:hAnsi="Courier New" w:cs="Courier New" w:hint="default"/>
        </w:rPr>
      </w:lvl>
    </w:lvlOverride>
    <w:lvlOverride w:ilvl="5">
      <w:lvl w:ilvl="5" w:tplc="18090005" w:tentative="1">
        <w:start w:val="1"/>
        <w:numFmt w:val="bullet"/>
        <w:lvlText w:val=""/>
        <w:lvlJc w:val="left"/>
        <w:pPr>
          <w:ind w:left="4811" w:hanging="360"/>
        </w:pPr>
        <w:rPr>
          <w:rFonts w:ascii="Wingdings" w:hAnsi="Wingdings" w:hint="default"/>
        </w:rPr>
      </w:lvl>
    </w:lvlOverride>
    <w:lvlOverride w:ilvl="6">
      <w:lvl w:ilvl="6" w:tplc="18090001" w:tentative="1">
        <w:start w:val="1"/>
        <w:numFmt w:val="bullet"/>
        <w:lvlText w:val=""/>
        <w:lvlJc w:val="left"/>
        <w:pPr>
          <w:ind w:left="5531" w:hanging="360"/>
        </w:pPr>
        <w:rPr>
          <w:rFonts w:ascii="Symbol" w:hAnsi="Symbol" w:hint="default"/>
        </w:rPr>
      </w:lvl>
    </w:lvlOverride>
    <w:lvlOverride w:ilvl="7">
      <w:lvl w:ilvl="7" w:tplc="18090003" w:tentative="1">
        <w:start w:val="1"/>
        <w:numFmt w:val="bullet"/>
        <w:lvlText w:val="o"/>
        <w:lvlJc w:val="left"/>
        <w:pPr>
          <w:ind w:left="6251" w:hanging="360"/>
        </w:pPr>
        <w:rPr>
          <w:rFonts w:ascii="Courier New" w:hAnsi="Courier New" w:cs="Courier New" w:hint="default"/>
        </w:rPr>
      </w:lvl>
    </w:lvlOverride>
    <w:lvlOverride w:ilvl="8">
      <w:lvl w:ilvl="8" w:tplc="18090005" w:tentative="1">
        <w:start w:val="1"/>
        <w:numFmt w:val="bullet"/>
        <w:lvlText w:val=""/>
        <w:lvlJc w:val="left"/>
        <w:pPr>
          <w:ind w:left="6971" w:hanging="360"/>
        </w:pPr>
        <w:rPr>
          <w:rFonts w:ascii="Wingdings" w:hAnsi="Wingdings" w:hint="default"/>
        </w:rPr>
      </w:lvl>
    </w:lvlOverride>
  </w:num>
  <w:num w:numId="6" w16cid:durableId="1870947785">
    <w:abstractNumId w:val="6"/>
  </w:num>
  <w:num w:numId="7" w16cid:durableId="122313538">
    <w:abstractNumId w:val="0"/>
  </w:num>
  <w:num w:numId="8" w16cid:durableId="1871259562">
    <w:abstractNumId w:val="1"/>
  </w:num>
  <w:num w:numId="9" w16cid:durableId="1338194339">
    <w:abstractNumId w:val="2"/>
  </w:num>
  <w:num w:numId="10" w16cid:durableId="330257085">
    <w:abstractNumId w:val="2"/>
  </w:num>
  <w:num w:numId="11" w16cid:durableId="8852653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1624" w:allStyles="0" w:customStyles="0" w:latentStyles="1" w:stylesInUse="0" w:headingStyles="1" w:numberingStyles="0" w:tableStyles="0" w:directFormattingOnRuns="0" w:directFormattingOnParagraphs="1" w:directFormattingOnNumbering="1" w:directFormattingOnTables="0" w:clearFormatting="1" w:top3HeadingStyles="0" w:visibleStyles="0" w:alternateStyleNames="0"/>
  <w:stylePaneSortMethod w:val="000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7F"/>
    <w:rsid w:val="000007E9"/>
    <w:rsid w:val="00010EF3"/>
    <w:rsid w:val="00011671"/>
    <w:rsid w:val="00011709"/>
    <w:rsid w:val="00014AD2"/>
    <w:rsid w:val="000234DE"/>
    <w:rsid w:val="00033A7F"/>
    <w:rsid w:val="00035EDC"/>
    <w:rsid w:val="00055D5B"/>
    <w:rsid w:val="00061388"/>
    <w:rsid w:val="000636A1"/>
    <w:rsid w:val="000649DC"/>
    <w:rsid w:val="00067271"/>
    <w:rsid w:val="00074481"/>
    <w:rsid w:val="00077AFA"/>
    <w:rsid w:val="00084D6F"/>
    <w:rsid w:val="000954E7"/>
    <w:rsid w:val="000A2F7A"/>
    <w:rsid w:val="000D5BE9"/>
    <w:rsid w:val="000E3840"/>
    <w:rsid w:val="00112686"/>
    <w:rsid w:val="0011284A"/>
    <w:rsid w:val="00120A21"/>
    <w:rsid w:val="001247E5"/>
    <w:rsid w:val="001251EB"/>
    <w:rsid w:val="00150222"/>
    <w:rsid w:val="00161860"/>
    <w:rsid w:val="00167BAF"/>
    <w:rsid w:val="0017260A"/>
    <w:rsid w:val="00174BCB"/>
    <w:rsid w:val="0018353D"/>
    <w:rsid w:val="001A1361"/>
    <w:rsid w:val="001B7EF0"/>
    <w:rsid w:val="001D43B9"/>
    <w:rsid w:val="001D463C"/>
    <w:rsid w:val="001D5E37"/>
    <w:rsid w:val="001F482D"/>
    <w:rsid w:val="00201B5D"/>
    <w:rsid w:val="00224142"/>
    <w:rsid w:val="00250B9C"/>
    <w:rsid w:val="0025695F"/>
    <w:rsid w:val="00265D6A"/>
    <w:rsid w:val="00282F04"/>
    <w:rsid w:val="002A0DB4"/>
    <w:rsid w:val="002B0E5A"/>
    <w:rsid w:val="002D051A"/>
    <w:rsid w:val="002D6F7A"/>
    <w:rsid w:val="002E273F"/>
    <w:rsid w:val="003229AD"/>
    <w:rsid w:val="00325343"/>
    <w:rsid w:val="00332E0F"/>
    <w:rsid w:val="00343707"/>
    <w:rsid w:val="00363558"/>
    <w:rsid w:val="00366EEF"/>
    <w:rsid w:val="00367FCC"/>
    <w:rsid w:val="0037053A"/>
    <w:rsid w:val="003A62B6"/>
    <w:rsid w:val="003B1207"/>
    <w:rsid w:val="003B1FCD"/>
    <w:rsid w:val="003B447A"/>
    <w:rsid w:val="003C1FA9"/>
    <w:rsid w:val="003E73BA"/>
    <w:rsid w:val="004009B7"/>
    <w:rsid w:val="0040393F"/>
    <w:rsid w:val="004109FC"/>
    <w:rsid w:val="0042573D"/>
    <w:rsid w:val="004412F8"/>
    <w:rsid w:val="00442844"/>
    <w:rsid w:val="0047045B"/>
    <w:rsid w:val="004A57E0"/>
    <w:rsid w:val="004D14DB"/>
    <w:rsid w:val="004D5258"/>
    <w:rsid w:val="004F0F74"/>
    <w:rsid w:val="0052046D"/>
    <w:rsid w:val="00525B36"/>
    <w:rsid w:val="00534AD3"/>
    <w:rsid w:val="00537B52"/>
    <w:rsid w:val="00546883"/>
    <w:rsid w:val="005505A3"/>
    <w:rsid w:val="00571B57"/>
    <w:rsid w:val="00586E5F"/>
    <w:rsid w:val="00594498"/>
    <w:rsid w:val="00594792"/>
    <w:rsid w:val="00596B5E"/>
    <w:rsid w:val="005A4A37"/>
    <w:rsid w:val="005A635A"/>
    <w:rsid w:val="005B662D"/>
    <w:rsid w:val="005F7361"/>
    <w:rsid w:val="006150B2"/>
    <w:rsid w:val="00631B11"/>
    <w:rsid w:val="00642439"/>
    <w:rsid w:val="0065162C"/>
    <w:rsid w:val="006562D7"/>
    <w:rsid w:val="00664100"/>
    <w:rsid w:val="00666064"/>
    <w:rsid w:val="00672BFB"/>
    <w:rsid w:val="006730F6"/>
    <w:rsid w:val="00682CE1"/>
    <w:rsid w:val="00697CA3"/>
    <w:rsid w:val="006B2B1D"/>
    <w:rsid w:val="006D1057"/>
    <w:rsid w:val="006D1BAE"/>
    <w:rsid w:val="006D6DBF"/>
    <w:rsid w:val="00704572"/>
    <w:rsid w:val="007067D8"/>
    <w:rsid w:val="00733CE3"/>
    <w:rsid w:val="0073405C"/>
    <w:rsid w:val="00754D65"/>
    <w:rsid w:val="00772E8C"/>
    <w:rsid w:val="007C035C"/>
    <w:rsid w:val="007C6C9C"/>
    <w:rsid w:val="007E55E8"/>
    <w:rsid w:val="007E7402"/>
    <w:rsid w:val="00804A22"/>
    <w:rsid w:val="00811E0C"/>
    <w:rsid w:val="00823BCA"/>
    <w:rsid w:val="00842C37"/>
    <w:rsid w:val="008544BF"/>
    <w:rsid w:val="00862784"/>
    <w:rsid w:val="00863788"/>
    <w:rsid w:val="008764F5"/>
    <w:rsid w:val="00887028"/>
    <w:rsid w:val="008B3275"/>
    <w:rsid w:val="008B76BF"/>
    <w:rsid w:val="008B77EA"/>
    <w:rsid w:val="009276C8"/>
    <w:rsid w:val="00934C17"/>
    <w:rsid w:val="0093527D"/>
    <w:rsid w:val="00937F2B"/>
    <w:rsid w:val="00942490"/>
    <w:rsid w:val="00956870"/>
    <w:rsid w:val="00962038"/>
    <w:rsid w:val="009630A9"/>
    <w:rsid w:val="00965E7C"/>
    <w:rsid w:val="00970635"/>
    <w:rsid w:val="0098213A"/>
    <w:rsid w:val="00984A2B"/>
    <w:rsid w:val="009A3623"/>
    <w:rsid w:val="009B497E"/>
    <w:rsid w:val="009C6489"/>
    <w:rsid w:val="009C7FC1"/>
    <w:rsid w:val="00A05FF0"/>
    <w:rsid w:val="00A13B3B"/>
    <w:rsid w:val="00A21BC7"/>
    <w:rsid w:val="00A4195B"/>
    <w:rsid w:val="00A41D00"/>
    <w:rsid w:val="00A4548E"/>
    <w:rsid w:val="00A6761E"/>
    <w:rsid w:val="00A70004"/>
    <w:rsid w:val="00A74D5E"/>
    <w:rsid w:val="00A97E52"/>
    <w:rsid w:val="00AA5117"/>
    <w:rsid w:val="00AA558D"/>
    <w:rsid w:val="00AC1129"/>
    <w:rsid w:val="00AC6DB6"/>
    <w:rsid w:val="00AD3FFD"/>
    <w:rsid w:val="00AD7EED"/>
    <w:rsid w:val="00AF50BB"/>
    <w:rsid w:val="00B02127"/>
    <w:rsid w:val="00B3288A"/>
    <w:rsid w:val="00B434D1"/>
    <w:rsid w:val="00B44FEB"/>
    <w:rsid w:val="00B66C1F"/>
    <w:rsid w:val="00B7033B"/>
    <w:rsid w:val="00B85249"/>
    <w:rsid w:val="00B958D0"/>
    <w:rsid w:val="00B9595B"/>
    <w:rsid w:val="00BB6980"/>
    <w:rsid w:val="00BC0F1D"/>
    <w:rsid w:val="00BC6828"/>
    <w:rsid w:val="00BC7A7B"/>
    <w:rsid w:val="00BE2A72"/>
    <w:rsid w:val="00C03552"/>
    <w:rsid w:val="00C044B4"/>
    <w:rsid w:val="00C314BB"/>
    <w:rsid w:val="00C31E6C"/>
    <w:rsid w:val="00C36DAF"/>
    <w:rsid w:val="00C7592A"/>
    <w:rsid w:val="00C947F9"/>
    <w:rsid w:val="00C95427"/>
    <w:rsid w:val="00CB0347"/>
    <w:rsid w:val="00CB7037"/>
    <w:rsid w:val="00CD2B83"/>
    <w:rsid w:val="00CD34E2"/>
    <w:rsid w:val="00CD4207"/>
    <w:rsid w:val="00CE0E7D"/>
    <w:rsid w:val="00CF1A4B"/>
    <w:rsid w:val="00CF3FA0"/>
    <w:rsid w:val="00D00268"/>
    <w:rsid w:val="00D016BA"/>
    <w:rsid w:val="00D13F62"/>
    <w:rsid w:val="00D27F8C"/>
    <w:rsid w:val="00D3361F"/>
    <w:rsid w:val="00D37010"/>
    <w:rsid w:val="00D41FD2"/>
    <w:rsid w:val="00D461D3"/>
    <w:rsid w:val="00D65B9A"/>
    <w:rsid w:val="00D72D24"/>
    <w:rsid w:val="00D943CD"/>
    <w:rsid w:val="00D960B7"/>
    <w:rsid w:val="00DB1FD5"/>
    <w:rsid w:val="00DC6B5A"/>
    <w:rsid w:val="00DC799A"/>
    <w:rsid w:val="00DE34E3"/>
    <w:rsid w:val="00E03878"/>
    <w:rsid w:val="00E058BC"/>
    <w:rsid w:val="00E07759"/>
    <w:rsid w:val="00E21EF5"/>
    <w:rsid w:val="00E45334"/>
    <w:rsid w:val="00E75AE6"/>
    <w:rsid w:val="00E86E80"/>
    <w:rsid w:val="00EB77B9"/>
    <w:rsid w:val="00EC5E07"/>
    <w:rsid w:val="00EC7DC4"/>
    <w:rsid w:val="00ED60B4"/>
    <w:rsid w:val="00F10768"/>
    <w:rsid w:val="00F114B8"/>
    <w:rsid w:val="00F152A4"/>
    <w:rsid w:val="00F23264"/>
    <w:rsid w:val="00F32780"/>
    <w:rsid w:val="00F43272"/>
    <w:rsid w:val="00F80EDB"/>
    <w:rsid w:val="00F94620"/>
    <w:rsid w:val="00F9605C"/>
    <w:rsid w:val="00FC3992"/>
    <w:rsid w:val="00FD5C8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0B2F32"/>
  <w15:docId w15:val="{6FC2A373-0C0C-4E23-B246-5184560A0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BCA"/>
  </w:style>
  <w:style w:type="paragraph" w:styleId="Heading1">
    <w:name w:val="heading 1"/>
    <w:basedOn w:val="RSCHAPTERNUMBER"/>
    <w:next w:val="Normal"/>
    <w:link w:val="Heading1Char"/>
    <w:uiPriority w:val="9"/>
    <w:rsid w:val="00BB6980"/>
  </w:style>
  <w:style w:type="paragraph" w:styleId="Heading2">
    <w:name w:val="heading 2"/>
    <w:basedOn w:val="RS11"/>
    <w:next w:val="Normal"/>
    <w:link w:val="Heading2Char"/>
    <w:uiPriority w:val="9"/>
    <w:unhideWhenUsed/>
    <w:rsid w:val="00BB6980"/>
    <w:pPr>
      <w:outlineLvl w:val="1"/>
    </w:pPr>
  </w:style>
  <w:style w:type="paragraph" w:styleId="Heading3">
    <w:name w:val="heading 3"/>
    <w:basedOn w:val="RS111"/>
    <w:next w:val="Normal"/>
    <w:link w:val="Heading3Char"/>
    <w:uiPriority w:val="9"/>
    <w:unhideWhenUsed/>
    <w:rsid w:val="00DC6B5A"/>
    <w:pPr>
      <w:outlineLvl w:val="2"/>
    </w:pPr>
  </w:style>
  <w:style w:type="paragraph" w:styleId="Heading4">
    <w:name w:val="heading 4"/>
    <w:basedOn w:val="Normal"/>
    <w:next w:val="Normal"/>
    <w:link w:val="Heading4Char"/>
    <w:uiPriority w:val="9"/>
    <w:unhideWhenUsed/>
    <w:rsid w:val="00ED60B4"/>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rsid w:val="00ED60B4"/>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11">
    <w:name w:val="RS 1.1"/>
    <w:basedOn w:val="Normal"/>
    <w:link w:val="RS11Char"/>
    <w:qFormat/>
    <w:rsid w:val="00ED60B4"/>
    <w:pPr>
      <w:keepNext/>
      <w:spacing w:before="480" w:after="120" w:line="288" w:lineRule="auto"/>
      <w:ind w:left="1560" w:right="851" w:hanging="709"/>
      <w:jc w:val="both"/>
      <w:outlineLvl w:val="0"/>
    </w:pPr>
    <w:rPr>
      <w:rFonts w:ascii="Calibri" w:eastAsia="Batang" w:hAnsi="Calibri" w:cs="Times New Roman"/>
      <w:b/>
      <w:bCs/>
      <w:caps/>
      <w:color w:val="1F355E"/>
      <w:kern w:val="32"/>
      <w:sz w:val="24"/>
      <w:szCs w:val="24"/>
      <w:lang w:eastAsia="ar-SA"/>
    </w:rPr>
  </w:style>
  <w:style w:type="character" w:customStyle="1" w:styleId="RS11Char">
    <w:name w:val="RS 1.1 Char"/>
    <w:link w:val="RS11"/>
    <w:rsid w:val="00ED60B4"/>
    <w:rPr>
      <w:rFonts w:ascii="Calibri" w:eastAsia="Batang" w:hAnsi="Calibri" w:cs="Times New Roman"/>
      <w:b/>
      <w:bCs/>
      <w:caps/>
      <w:color w:val="1F355E"/>
      <w:kern w:val="32"/>
      <w:sz w:val="24"/>
      <w:szCs w:val="24"/>
      <w:lang w:eastAsia="ar-SA"/>
    </w:rPr>
  </w:style>
  <w:style w:type="paragraph" w:customStyle="1" w:styleId="RS111">
    <w:name w:val="RS 1.1.1"/>
    <w:basedOn w:val="Normal"/>
    <w:link w:val="RS111Char"/>
    <w:qFormat/>
    <w:rsid w:val="00ED60B4"/>
    <w:pPr>
      <w:keepNext/>
      <w:numPr>
        <w:ilvl w:val="2"/>
      </w:numPr>
      <w:spacing w:before="240" w:after="120" w:line="288" w:lineRule="auto"/>
      <w:ind w:left="1560" w:right="851" w:hanging="709"/>
      <w:jc w:val="both"/>
      <w:outlineLvl w:val="1"/>
    </w:pPr>
    <w:rPr>
      <w:rFonts w:ascii="Calibri" w:eastAsia="Batang" w:hAnsi="Calibri" w:cs="Times New Roman"/>
      <w:b/>
      <w:bCs/>
      <w:iCs/>
      <w:color w:val="1F355E"/>
      <w:sz w:val="24"/>
      <w:szCs w:val="28"/>
      <w:shd w:val="clear" w:color="auto" w:fill="FFFFFF"/>
      <w:lang w:val="en-GB"/>
    </w:rPr>
  </w:style>
  <w:style w:type="character" w:customStyle="1" w:styleId="RS111Char">
    <w:name w:val="RS 1.1.1 Char"/>
    <w:link w:val="RS111"/>
    <w:rsid w:val="00ED60B4"/>
    <w:rPr>
      <w:rFonts w:ascii="Calibri" w:eastAsia="Batang" w:hAnsi="Calibri" w:cs="Times New Roman"/>
      <w:b/>
      <w:bCs/>
      <w:iCs/>
      <w:color w:val="1F355E"/>
      <w:sz w:val="24"/>
      <w:szCs w:val="28"/>
      <w:lang w:val="en-GB"/>
    </w:rPr>
  </w:style>
  <w:style w:type="paragraph" w:customStyle="1" w:styleId="RS1111">
    <w:name w:val="RS 1.1.1.1"/>
    <w:basedOn w:val="Normal"/>
    <w:link w:val="RS1111Char"/>
    <w:qFormat/>
    <w:rsid w:val="00ED60B4"/>
    <w:pPr>
      <w:keepNext/>
      <w:spacing w:before="240" w:after="120" w:line="288" w:lineRule="auto"/>
      <w:ind w:left="1843" w:right="851" w:hanging="992"/>
      <w:jc w:val="both"/>
      <w:outlineLvl w:val="2"/>
    </w:pPr>
    <w:rPr>
      <w:rFonts w:ascii="Calibri" w:eastAsia="Batang" w:hAnsi="Calibri" w:cs="Times New Roman"/>
      <w:b/>
      <w:bCs/>
      <w:color w:val="1F355E"/>
      <w:sz w:val="24"/>
      <w:szCs w:val="26"/>
    </w:rPr>
  </w:style>
  <w:style w:type="character" w:customStyle="1" w:styleId="RS1111Char">
    <w:name w:val="RS 1.1.1.1 Char"/>
    <w:link w:val="RS1111"/>
    <w:rsid w:val="00ED60B4"/>
    <w:rPr>
      <w:rFonts w:ascii="Calibri" w:eastAsia="Batang" w:hAnsi="Calibri" w:cs="Times New Roman"/>
      <w:b/>
      <w:bCs/>
      <w:color w:val="1F355E"/>
      <w:sz w:val="24"/>
      <w:szCs w:val="26"/>
    </w:rPr>
  </w:style>
  <w:style w:type="paragraph" w:customStyle="1" w:styleId="RSCHAPTERNUMBER">
    <w:name w:val="RS CHAPTER NUMBER"/>
    <w:basedOn w:val="Normal"/>
    <w:link w:val="RSCHAPTERNUMBERChar"/>
    <w:qFormat/>
    <w:rsid w:val="009C7FC1"/>
    <w:pPr>
      <w:pBdr>
        <w:bottom w:val="single" w:sz="18" w:space="1" w:color="1F355E"/>
      </w:pBdr>
      <w:spacing w:after="0" w:line="240" w:lineRule="auto"/>
      <w:jc w:val="both"/>
      <w:outlineLvl w:val="0"/>
    </w:pPr>
    <w:rPr>
      <w:rFonts w:ascii="Calibri" w:eastAsia="Batang" w:hAnsi="Calibri" w:cs="Times New Roman"/>
      <w:b/>
      <w:caps/>
      <w:color w:val="1F355E"/>
      <w:sz w:val="32"/>
      <w:szCs w:val="32"/>
      <w:lang w:val="en-GB"/>
    </w:rPr>
  </w:style>
  <w:style w:type="character" w:customStyle="1" w:styleId="RSCHAPTERNUMBERChar">
    <w:name w:val="RS CHAPTER NUMBER Char"/>
    <w:link w:val="RSCHAPTERNUMBER"/>
    <w:locked/>
    <w:rsid w:val="009C7FC1"/>
    <w:rPr>
      <w:rFonts w:ascii="Calibri" w:eastAsia="Batang" w:hAnsi="Calibri" w:cs="Times New Roman"/>
      <w:b/>
      <w:caps/>
      <w:color w:val="1F355E"/>
      <w:sz w:val="32"/>
      <w:szCs w:val="32"/>
      <w:lang w:val="en-GB"/>
    </w:rPr>
  </w:style>
  <w:style w:type="paragraph" w:customStyle="1" w:styleId="RSChaptername">
    <w:name w:val="RS Chapter name"/>
    <w:basedOn w:val="Normal"/>
    <w:link w:val="RSChapternameChar"/>
    <w:uiPriority w:val="99"/>
    <w:qFormat/>
    <w:rsid w:val="00ED60B4"/>
    <w:pPr>
      <w:tabs>
        <w:tab w:val="right" w:pos="9026"/>
      </w:tabs>
      <w:spacing w:after="120" w:line="288" w:lineRule="auto"/>
      <w:jc w:val="both"/>
    </w:pPr>
    <w:rPr>
      <w:rFonts w:ascii="Calibri" w:eastAsia="Batang" w:hAnsi="Calibri" w:cs="Times New Roman"/>
      <w:b/>
      <w:color w:val="1F355E"/>
      <w:sz w:val="32"/>
      <w:szCs w:val="32"/>
      <w:lang w:val="en-GB"/>
    </w:rPr>
  </w:style>
  <w:style w:type="character" w:customStyle="1" w:styleId="RSChapternameChar">
    <w:name w:val="RS Chapter name Char"/>
    <w:link w:val="RSChaptername"/>
    <w:uiPriority w:val="99"/>
    <w:locked/>
    <w:rsid w:val="00ED60B4"/>
    <w:rPr>
      <w:rFonts w:ascii="Calibri" w:eastAsia="Batang" w:hAnsi="Calibri" w:cs="Times New Roman"/>
      <w:b/>
      <w:color w:val="1F355E"/>
      <w:sz w:val="32"/>
      <w:szCs w:val="32"/>
      <w:lang w:val="en-GB"/>
    </w:rPr>
  </w:style>
  <w:style w:type="paragraph" w:customStyle="1" w:styleId="RSFootnotetext">
    <w:name w:val="RS Footnote text"/>
    <w:basedOn w:val="Normal"/>
    <w:link w:val="RSFootnotetextChar"/>
    <w:autoRedefine/>
    <w:qFormat/>
    <w:rsid w:val="00ED60B4"/>
    <w:pPr>
      <w:spacing w:after="0" w:line="240" w:lineRule="auto"/>
      <w:ind w:left="425" w:hanging="425"/>
    </w:pPr>
    <w:rPr>
      <w:rFonts w:eastAsia="Batang" w:cs="Times New Roman"/>
      <w:sz w:val="18"/>
      <w:szCs w:val="16"/>
      <w:lang w:val="en-GB" w:eastAsia="de-DE"/>
    </w:rPr>
  </w:style>
  <w:style w:type="character" w:customStyle="1" w:styleId="RSFootnotetextChar">
    <w:name w:val="RS Footnote text Char"/>
    <w:link w:val="RSFootnotetext"/>
    <w:rsid w:val="00ED60B4"/>
    <w:rPr>
      <w:rFonts w:eastAsia="Batang" w:cs="Times New Roman"/>
      <w:sz w:val="18"/>
      <w:szCs w:val="16"/>
      <w:lang w:val="en-GB" w:eastAsia="de-DE"/>
    </w:rPr>
  </w:style>
  <w:style w:type="table" w:customStyle="1" w:styleId="ESRITableCORRECT">
    <w:name w:val="ESRI Table CORRECT"/>
    <w:uiPriority w:val="99"/>
    <w:rsid w:val="006D1057"/>
    <w:rPr>
      <w:rFonts w:ascii="Calibri" w:eastAsia="Batang" w:hAnsi="Calibri" w:cs="Times New Roman"/>
      <w:sz w:val="17"/>
      <w:lang w:eastAsia="en-IE"/>
    </w:rPr>
    <w:tblPr>
      <w:tblStyleRowBandSize w:val="1"/>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0" w:type="dxa"/>
        <w:left w:w="108" w:type="dxa"/>
        <w:bottom w:w="0" w:type="dxa"/>
        <w:right w:w="108" w:type="dxa"/>
      </w:tblCellMar>
    </w:tblPr>
    <w:tcPr>
      <w:shd w:val="clear" w:color="auto" w:fill="F2F2F2"/>
    </w:tcPr>
  </w:style>
  <w:style w:type="paragraph" w:customStyle="1" w:styleId="RSTabletitle">
    <w:name w:val="RS Table title"/>
    <w:basedOn w:val="Normal"/>
    <w:link w:val="RSTabletitleChar"/>
    <w:qFormat/>
    <w:rsid w:val="006B2B1D"/>
    <w:pPr>
      <w:keepNext/>
      <w:pBdr>
        <w:bottom w:val="single" w:sz="12" w:space="1" w:color="365F91"/>
      </w:pBdr>
      <w:spacing w:after="120" w:line="240" w:lineRule="auto"/>
      <w:ind w:left="1134" w:hanging="1134"/>
      <w:jc w:val="both"/>
    </w:pPr>
    <w:rPr>
      <w:rFonts w:ascii="Calibri" w:eastAsia="Times New Roman" w:hAnsi="Calibri" w:cs="Times New Roman"/>
      <w:b/>
      <w:bCs/>
      <w:caps/>
      <w:color w:val="1F355E"/>
      <w:lang w:val="en-US" w:eastAsia="en-IE"/>
    </w:rPr>
  </w:style>
  <w:style w:type="character" w:customStyle="1" w:styleId="RSTabletitleChar">
    <w:name w:val="RS Table title Char"/>
    <w:link w:val="RSTabletitle"/>
    <w:rsid w:val="006B2B1D"/>
    <w:rPr>
      <w:rFonts w:ascii="Calibri" w:eastAsia="Times New Roman" w:hAnsi="Calibri" w:cs="Times New Roman"/>
      <w:b/>
      <w:bCs/>
      <w:caps/>
      <w:color w:val="1F355E"/>
      <w:lang w:val="en-US" w:eastAsia="en-IE"/>
    </w:rPr>
  </w:style>
  <w:style w:type="paragraph" w:styleId="Header">
    <w:name w:val="header"/>
    <w:basedOn w:val="Normal"/>
    <w:link w:val="HeaderChar"/>
    <w:uiPriority w:val="99"/>
    <w:unhideWhenUsed/>
    <w:rsid w:val="001126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2686"/>
  </w:style>
  <w:style w:type="paragraph" w:styleId="Footer">
    <w:name w:val="footer"/>
    <w:basedOn w:val="Normal"/>
    <w:link w:val="FooterChar"/>
    <w:uiPriority w:val="99"/>
    <w:unhideWhenUsed/>
    <w:rsid w:val="001126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686"/>
  </w:style>
  <w:style w:type="paragraph" w:styleId="TOC1">
    <w:name w:val="toc 1"/>
    <w:basedOn w:val="Normal"/>
    <w:next w:val="Normal"/>
    <w:autoRedefine/>
    <w:uiPriority w:val="39"/>
    <w:rsid w:val="00ED60B4"/>
    <w:pPr>
      <w:tabs>
        <w:tab w:val="left" w:pos="1843"/>
        <w:tab w:val="right" w:leader="dot" w:pos="8931"/>
      </w:tabs>
      <w:spacing w:before="120" w:after="60"/>
      <w:ind w:left="1276" w:right="805" w:hanging="1276"/>
      <w:jc w:val="both"/>
    </w:pPr>
    <w:rPr>
      <w:rFonts w:ascii="Calibri" w:eastAsia="Calibri" w:hAnsi="Calibri" w:cs="Times New Roman"/>
      <w:caps/>
      <w:noProof/>
      <w:color w:val="1F355E"/>
    </w:rPr>
  </w:style>
  <w:style w:type="paragraph" w:styleId="TOC2">
    <w:name w:val="toc 2"/>
    <w:basedOn w:val="Normal"/>
    <w:next w:val="Normal"/>
    <w:autoRedefine/>
    <w:uiPriority w:val="39"/>
    <w:rsid w:val="00ED60B4"/>
    <w:pPr>
      <w:tabs>
        <w:tab w:val="left" w:pos="880"/>
        <w:tab w:val="left" w:pos="1843"/>
        <w:tab w:val="right" w:leader="dot" w:pos="8931"/>
      </w:tabs>
      <w:spacing w:after="100"/>
      <w:ind w:left="1134" w:right="663" w:hanging="425"/>
      <w:jc w:val="both"/>
    </w:pPr>
    <w:rPr>
      <w:rFonts w:ascii="Calibri" w:eastAsia="Calibri" w:hAnsi="Calibri" w:cs="Times New Roman"/>
      <w:noProof/>
    </w:rPr>
  </w:style>
  <w:style w:type="paragraph" w:styleId="TOC3">
    <w:name w:val="toc 3"/>
    <w:basedOn w:val="Normal"/>
    <w:next w:val="Normal"/>
    <w:link w:val="TOC3Char"/>
    <w:autoRedefine/>
    <w:uiPriority w:val="39"/>
    <w:unhideWhenUsed/>
    <w:rsid w:val="00ED60B4"/>
    <w:pPr>
      <w:tabs>
        <w:tab w:val="left" w:pos="1320"/>
        <w:tab w:val="right" w:pos="8930"/>
      </w:tabs>
      <w:spacing w:after="100"/>
      <w:ind w:left="1843" w:hanging="709"/>
      <w:jc w:val="both"/>
    </w:pPr>
    <w:rPr>
      <w:rFonts w:ascii="Calibri" w:eastAsia="Calibri" w:hAnsi="Calibri" w:cs="Times New Roman"/>
    </w:rPr>
  </w:style>
  <w:style w:type="character" w:customStyle="1" w:styleId="Heading1Char">
    <w:name w:val="Heading 1 Char"/>
    <w:basedOn w:val="DefaultParagraphFont"/>
    <w:link w:val="Heading1"/>
    <w:uiPriority w:val="9"/>
    <w:rsid w:val="00BB6980"/>
    <w:rPr>
      <w:rFonts w:ascii="Calibri" w:eastAsia="Batang" w:hAnsi="Calibri" w:cs="Times New Roman"/>
      <w:b/>
      <w:caps/>
      <w:color w:val="1F355E"/>
      <w:sz w:val="32"/>
      <w:szCs w:val="32"/>
      <w:lang w:val="en-GB"/>
    </w:rPr>
  </w:style>
  <w:style w:type="character" w:customStyle="1" w:styleId="TOC3Char">
    <w:name w:val="TOC 3 Char"/>
    <w:basedOn w:val="DefaultParagraphFont"/>
    <w:link w:val="TOC3"/>
    <w:uiPriority w:val="39"/>
    <w:locked/>
    <w:rsid w:val="00ED60B4"/>
    <w:rPr>
      <w:rFonts w:ascii="Calibri" w:eastAsia="Calibri" w:hAnsi="Calibri" w:cs="Times New Roman"/>
    </w:rPr>
  </w:style>
  <w:style w:type="character" w:styleId="Hyperlink">
    <w:name w:val="Hyperlink"/>
    <w:aliases w:val="RS Hyperlink"/>
    <w:basedOn w:val="DefaultParagraphFont"/>
    <w:uiPriority w:val="99"/>
    <w:qFormat/>
    <w:rsid w:val="00ED60B4"/>
    <w:rPr>
      <w:rFonts w:ascii="Calibri" w:hAnsi="Calibri" w:cs="Times New Roman"/>
      <w:color w:val="808080"/>
      <w:sz w:val="22"/>
      <w:u w:val="none"/>
    </w:rPr>
  </w:style>
  <w:style w:type="paragraph" w:customStyle="1" w:styleId="RSFiguretitle">
    <w:name w:val="RS Figure title"/>
    <w:basedOn w:val="Normal"/>
    <w:link w:val="RSFiguretitleChar"/>
    <w:qFormat/>
    <w:rsid w:val="006B2B1D"/>
    <w:pPr>
      <w:keepNext/>
      <w:pBdr>
        <w:bottom w:val="single" w:sz="8" w:space="1" w:color="1F355E"/>
      </w:pBdr>
      <w:spacing w:after="120" w:line="240" w:lineRule="auto"/>
      <w:ind w:left="1134" w:hanging="1134"/>
      <w:jc w:val="both"/>
    </w:pPr>
    <w:rPr>
      <w:rFonts w:ascii="Calibri" w:eastAsia="Times New Roman" w:hAnsi="Calibri" w:cs="Times New Roman"/>
      <w:b/>
      <w:caps/>
      <w:color w:val="1F355E"/>
      <w:sz w:val="20"/>
      <w:szCs w:val="18"/>
      <w:lang w:val="en-GB"/>
    </w:rPr>
  </w:style>
  <w:style w:type="character" w:customStyle="1" w:styleId="RSFiguretitleChar">
    <w:name w:val="RS Figure title Char"/>
    <w:basedOn w:val="DefaultParagraphFont"/>
    <w:link w:val="RSFiguretitle"/>
    <w:rsid w:val="006B2B1D"/>
    <w:rPr>
      <w:rFonts w:ascii="Calibri" w:eastAsia="Times New Roman" w:hAnsi="Calibri" w:cs="Times New Roman"/>
      <w:b/>
      <w:caps/>
      <w:color w:val="1F355E"/>
      <w:sz w:val="20"/>
      <w:szCs w:val="18"/>
      <w:lang w:val="en-GB"/>
    </w:rPr>
  </w:style>
  <w:style w:type="character" w:customStyle="1" w:styleId="Heading2Char">
    <w:name w:val="Heading 2 Char"/>
    <w:basedOn w:val="DefaultParagraphFont"/>
    <w:link w:val="Heading2"/>
    <w:uiPriority w:val="9"/>
    <w:rsid w:val="00BB6980"/>
    <w:rPr>
      <w:rFonts w:ascii="Calibri" w:eastAsia="Batang" w:hAnsi="Calibri" w:cs="Times New Roman"/>
      <w:b/>
      <w:bCs/>
      <w:caps/>
      <w:color w:val="1F355E"/>
      <w:kern w:val="32"/>
      <w:sz w:val="24"/>
      <w:szCs w:val="24"/>
      <w:lang w:eastAsia="ar-SA"/>
    </w:rPr>
  </w:style>
  <w:style w:type="character" w:customStyle="1" w:styleId="Heading3Char">
    <w:name w:val="Heading 3 Char"/>
    <w:basedOn w:val="DefaultParagraphFont"/>
    <w:link w:val="Heading3"/>
    <w:uiPriority w:val="9"/>
    <w:rsid w:val="00DC6B5A"/>
    <w:rPr>
      <w:rFonts w:ascii="Calibri" w:eastAsia="Batang" w:hAnsi="Calibri" w:cs="Times New Roman"/>
      <w:b/>
      <w:bCs/>
      <w:iCs/>
      <w:color w:val="1F355E"/>
      <w:sz w:val="24"/>
      <w:szCs w:val="28"/>
      <w:lang w:val="en-GB"/>
    </w:rPr>
  </w:style>
  <w:style w:type="character" w:customStyle="1" w:styleId="Heading4Char">
    <w:name w:val="Heading 4 Char"/>
    <w:basedOn w:val="DefaultParagraphFont"/>
    <w:link w:val="Heading4"/>
    <w:uiPriority w:val="9"/>
    <w:rsid w:val="00ED60B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ED60B4"/>
    <w:rPr>
      <w:rFonts w:asciiTheme="majorHAnsi" w:eastAsiaTheme="majorEastAsia" w:hAnsiTheme="majorHAnsi" w:cstheme="majorBidi"/>
      <w:color w:val="243F60" w:themeColor="accent1" w:themeShade="7F"/>
    </w:rPr>
  </w:style>
  <w:style w:type="paragraph" w:customStyle="1" w:styleId="RSQuote">
    <w:name w:val="RS Quote"/>
    <w:basedOn w:val="Normal"/>
    <w:link w:val="RSQuoteChar"/>
    <w:qFormat/>
    <w:rsid w:val="00ED60B4"/>
    <w:pPr>
      <w:spacing w:after="240" w:line="288" w:lineRule="auto"/>
      <w:ind w:left="1418" w:right="1418"/>
      <w:jc w:val="both"/>
    </w:pPr>
    <w:rPr>
      <w:rFonts w:ascii="Calibri" w:eastAsia="Times New Roman" w:hAnsi="Calibri" w:cs="Times New Roman"/>
      <w:i/>
      <w:szCs w:val="20"/>
      <w:lang w:val="en-GB"/>
    </w:rPr>
  </w:style>
  <w:style w:type="character" w:customStyle="1" w:styleId="RSQuoteChar">
    <w:name w:val="RS Quote Char"/>
    <w:basedOn w:val="DefaultParagraphFont"/>
    <w:link w:val="RSQuote"/>
    <w:rsid w:val="00ED60B4"/>
    <w:rPr>
      <w:rFonts w:ascii="Calibri" w:eastAsia="Times New Roman" w:hAnsi="Calibri" w:cs="Times New Roman"/>
      <w:i/>
      <w:szCs w:val="20"/>
      <w:lang w:val="en-GB"/>
    </w:rPr>
  </w:style>
  <w:style w:type="paragraph" w:customStyle="1" w:styleId="RSHeading-Firstpages">
    <w:name w:val="RS Heading - First pages"/>
    <w:basedOn w:val="Normal"/>
    <w:link w:val="RSHeading-FirstpagesChar"/>
    <w:autoRedefine/>
    <w:qFormat/>
    <w:rsid w:val="00ED60B4"/>
    <w:pPr>
      <w:spacing w:before="180" w:after="120"/>
      <w:ind w:left="851"/>
    </w:pPr>
    <w:rPr>
      <w:rFonts w:eastAsia="Batang"/>
      <w:b/>
      <w:color w:val="1F355E"/>
      <w:sz w:val="32"/>
    </w:rPr>
  </w:style>
  <w:style w:type="paragraph" w:customStyle="1" w:styleId="RSBodytext">
    <w:name w:val="RS Body text"/>
    <w:basedOn w:val="Normal"/>
    <w:link w:val="RSBodytextChar"/>
    <w:qFormat/>
    <w:rsid w:val="00ED60B4"/>
    <w:pPr>
      <w:autoSpaceDE w:val="0"/>
      <w:autoSpaceDN w:val="0"/>
      <w:spacing w:after="360" w:line="288" w:lineRule="auto"/>
      <w:ind w:left="851" w:right="851"/>
      <w:jc w:val="both"/>
    </w:pPr>
    <w:rPr>
      <w:rFonts w:ascii="Calibri" w:hAnsi="Calibri"/>
      <w:lang w:val="en-GB" w:eastAsia="de-DE"/>
    </w:rPr>
  </w:style>
  <w:style w:type="character" w:customStyle="1" w:styleId="RSBodytextChar">
    <w:name w:val="RS Body text Char"/>
    <w:link w:val="RSBodytext"/>
    <w:rsid w:val="00ED60B4"/>
    <w:rPr>
      <w:rFonts w:ascii="Calibri" w:hAnsi="Calibri"/>
      <w:lang w:val="en-GB" w:eastAsia="de-DE"/>
    </w:rPr>
  </w:style>
  <w:style w:type="paragraph" w:customStyle="1" w:styleId="RSBullets">
    <w:name w:val="RS Bullets"/>
    <w:basedOn w:val="Normal"/>
    <w:link w:val="RSBulletsChar"/>
    <w:qFormat/>
    <w:rsid w:val="006B2B1D"/>
    <w:pPr>
      <w:numPr>
        <w:numId w:val="5"/>
      </w:numPr>
      <w:spacing w:after="240"/>
      <w:ind w:left="1208" w:right="851" w:hanging="357"/>
      <w:jc w:val="both"/>
    </w:pPr>
    <w:rPr>
      <w:rFonts w:ascii="Calibri" w:eastAsia="Calibri" w:hAnsi="Calibri" w:cs="Times New Roman"/>
      <w:lang w:val="en-GB" w:eastAsia="de-DE"/>
    </w:rPr>
  </w:style>
  <w:style w:type="character" w:customStyle="1" w:styleId="RSBulletsChar">
    <w:name w:val="RS Bullets Char"/>
    <w:basedOn w:val="DefaultParagraphFont"/>
    <w:link w:val="RSBullets"/>
    <w:rsid w:val="006B2B1D"/>
    <w:rPr>
      <w:rFonts w:ascii="Calibri" w:eastAsia="Calibri" w:hAnsi="Calibri" w:cs="Times New Roman"/>
      <w:lang w:val="en-GB" w:eastAsia="de-DE"/>
    </w:rPr>
  </w:style>
  <w:style w:type="paragraph" w:customStyle="1" w:styleId="ChapterNumber">
    <w:name w:val="ChapterNumber"/>
    <w:basedOn w:val="Heading1"/>
    <w:link w:val="ChapterNumberChar"/>
    <w:rsid w:val="00ED60B4"/>
    <w:rPr>
      <w:lang w:eastAsia="en-IE"/>
    </w:rPr>
  </w:style>
  <w:style w:type="character" w:customStyle="1" w:styleId="ChapterNumberChar">
    <w:name w:val="ChapterNumber Char"/>
    <w:basedOn w:val="Heading1Char"/>
    <w:link w:val="ChapterNumber"/>
    <w:rsid w:val="00ED60B4"/>
    <w:rPr>
      <w:rFonts w:asciiTheme="majorHAnsi" w:eastAsiaTheme="majorEastAsia" w:hAnsiTheme="majorHAnsi" w:cstheme="majorBidi"/>
      <w:b/>
      <w:bCs w:val="0"/>
      <w:caps/>
      <w:color w:val="365F91" w:themeColor="accent1" w:themeShade="BF"/>
      <w:sz w:val="28"/>
      <w:szCs w:val="28"/>
      <w:lang w:val="en-GB" w:eastAsia="en-IE"/>
    </w:rPr>
  </w:style>
  <w:style w:type="paragraph" w:customStyle="1" w:styleId="RSDisclaimer">
    <w:name w:val="RS Disclaimer"/>
    <w:basedOn w:val="Normal"/>
    <w:qFormat/>
    <w:rsid w:val="00ED60B4"/>
    <w:rPr>
      <w:rFonts w:eastAsia="Batang"/>
      <w:bCs/>
      <w:i/>
      <w:szCs w:val="20"/>
      <w:lang w:val="en-GB" w:eastAsia="de-DE"/>
    </w:rPr>
  </w:style>
  <w:style w:type="paragraph" w:customStyle="1" w:styleId="RSExecsummaryheading">
    <w:name w:val="RS Exec summary heading"/>
    <w:basedOn w:val="Normal"/>
    <w:qFormat/>
    <w:rsid w:val="009C7FC1"/>
    <w:pPr>
      <w:keepNext/>
      <w:spacing w:before="480" w:after="120" w:line="288" w:lineRule="auto"/>
      <w:ind w:left="851" w:right="851"/>
      <w:jc w:val="both"/>
      <w:outlineLvl w:val="0"/>
    </w:pPr>
    <w:rPr>
      <w:rFonts w:ascii="Calibri" w:eastAsia="Batang" w:hAnsi="Calibri" w:cs="Times New Roman"/>
      <w:b/>
      <w:bCs/>
      <w:caps/>
      <w:color w:val="1F355E"/>
      <w:kern w:val="32"/>
      <w:sz w:val="24"/>
      <w:szCs w:val="24"/>
      <w:lang w:val="en-GB" w:eastAsia="ar-SA"/>
    </w:rPr>
  </w:style>
  <w:style w:type="table" w:customStyle="1" w:styleId="ESRItablestyle">
    <w:name w:val="ESRI table style"/>
    <w:basedOn w:val="TableNormal"/>
    <w:uiPriority w:val="99"/>
    <w:rsid w:val="00ED60B4"/>
    <w:pPr>
      <w:spacing w:after="0" w:line="240" w:lineRule="auto"/>
    </w:pPr>
    <w:tblPr/>
  </w:style>
  <w:style w:type="table" w:customStyle="1" w:styleId="ESRItable1">
    <w:name w:val="ESRI table1"/>
    <w:basedOn w:val="TableNormal"/>
    <w:uiPriority w:val="99"/>
    <w:rsid w:val="00ED60B4"/>
    <w:pPr>
      <w:spacing w:after="0" w:line="240" w:lineRule="auto"/>
    </w:pPr>
    <w:tblPr/>
  </w:style>
  <w:style w:type="table" w:customStyle="1" w:styleId="ESRItable10">
    <w:name w:val="ESRItable1"/>
    <w:basedOn w:val="TableNormal"/>
    <w:next w:val="MediumShading1-Accent3"/>
    <w:uiPriority w:val="63"/>
    <w:rsid w:val="00010EF3"/>
    <w:pPr>
      <w:spacing w:after="0" w:line="264" w:lineRule="auto"/>
      <w:contextualSpacing/>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rFonts w:ascii="Calibri" w:hAnsi="Calibri"/>
        <w:color w:val="auto"/>
        <w:sz w:val="20"/>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customStyle="1" w:styleId="RSGreyline">
    <w:name w:val="RS Grey line"/>
    <w:basedOn w:val="Normal"/>
    <w:link w:val="RSGreylineChar"/>
    <w:autoRedefine/>
    <w:qFormat/>
    <w:rsid w:val="006B2B1D"/>
    <w:pPr>
      <w:keepNext/>
      <w:pBdr>
        <w:bottom w:val="single" w:sz="8" w:space="1" w:color="A6A6A6" w:themeColor="background1" w:themeShade="A6"/>
      </w:pBdr>
      <w:spacing w:after="60" w:line="240" w:lineRule="auto"/>
    </w:pPr>
    <w:rPr>
      <w:rFonts w:eastAsia="Batang" w:cstheme="minorHAnsi"/>
      <w:b/>
      <w:noProof/>
      <w:color w:val="396065"/>
      <w:sz w:val="2"/>
      <w:szCs w:val="2"/>
      <w:lang w:val="en-GB" w:eastAsia="en-GB"/>
    </w:rPr>
  </w:style>
  <w:style w:type="character" w:customStyle="1" w:styleId="RSGreylineChar">
    <w:name w:val="RS Grey line Char"/>
    <w:basedOn w:val="DefaultParagraphFont"/>
    <w:link w:val="RSGreyline"/>
    <w:rsid w:val="006B2B1D"/>
    <w:rPr>
      <w:rFonts w:eastAsia="Batang" w:cstheme="minorHAnsi"/>
      <w:b/>
      <w:noProof/>
      <w:color w:val="396065"/>
      <w:sz w:val="2"/>
      <w:szCs w:val="2"/>
      <w:lang w:val="en-GB" w:eastAsia="en-GB"/>
    </w:rPr>
  </w:style>
  <w:style w:type="paragraph" w:customStyle="1" w:styleId="RSHeaderchapterreporttitleLS">
    <w:name w:val="RS Header: chapter / report title (LS)"/>
    <w:basedOn w:val="Normal"/>
    <w:qFormat/>
    <w:rsid w:val="00ED60B4"/>
    <w:pPr>
      <w:spacing w:after="160" w:line="259" w:lineRule="auto"/>
    </w:pPr>
    <w:rPr>
      <w:noProof/>
      <w:color w:val="999999"/>
      <w:spacing w:val="20"/>
      <w:lang w:val="en-GB"/>
    </w:rPr>
  </w:style>
  <w:style w:type="paragraph" w:customStyle="1" w:styleId="RSHeaderchapterreporttitleRS">
    <w:name w:val="RS Header: chapter / report title (RS)"/>
    <w:basedOn w:val="Normal"/>
    <w:qFormat/>
    <w:rsid w:val="00201B5D"/>
    <w:pPr>
      <w:tabs>
        <w:tab w:val="center" w:pos="4513"/>
        <w:tab w:val="right" w:pos="7797"/>
        <w:tab w:val="right" w:pos="9026"/>
      </w:tabs>
      <w:spacing w:after="0" w:line="240" w:lineRule="auto"/>
      <w:jc w:val="right"/>
    </w:pPr>
    <w:rPr>
      <w:color w:val="999999"/>
      <w:spacing w:val="10"/>
      <w:sz w:val="20"/>
      <w:lang w:val="en-GB"/>
    </w:rPr>
  </w:style>
  <w:style w:type="paragraph" w:customStyle="1" w:styleId="HeaderpagenumberRS">
    <w:name w:val="Header: page number (RS)"/>
    <w:basedOn w:val="Normal"/>
    <w:rsid w:val="00ED60B4"/>
    <w:pPr>
      <w:tabs>
        <w:tab w:val="center" w:pos="4513"/>
        <w:tab w:val="right" w:pos="7797"/>
        <w:tab w:val="right" w:pos="9026"/>
      </w:tabs>
      <w:spacing w:after="0" w:line="240" w:lineRule="auto"/>
      <w:jc w:val="right"/>
    </w:pPr>
    <w:rPr>
      <w:color w:val="999999"/>
      <w:spacing w:val="10"/>
      <w:sz w:val="20"/>
      <w:lang w:val="en-GB"/>
    </w:rPr>
  </w:style>
  <w:style w:type="character" w:customStyle="1" w:styleId="RSHeading-FirstpagesChar">
    <w:name w:val="RS Heading - First pages Char"/>
    <w:basedOn w:val="DefaultParagraphFont"/>
    <w:link w:val="RSHeading-Firstpages"/>
    <w:rsid w:val="00ED60B4"/>
    <w:rPr>
      <w:rFonts w:eastAsia="Batang"/>
      <w:b/>
      <w:color w:val="1F355E"/>
      <w:sz w:val="32"/>
    </w:rPr>
  </w:style>
  <w:style w:type="paragraph" w:customStyle="1" w:styleId="RSListofabbreviations">
    <w:name w:val="RS List of abbreviations"/>
    <w:basedOn w:val="Normal"/>
    <w:qFormat/>
    <w:rsid w:val="00ED60B4"/>
    <w:pPr>
      <w:spacing w:after="0" w:line="360" w:lineRule="auto"/>
      <w:ind w:left="3119" w:hanging="2268"/>
    </w:pPr>
    <w:rPr>
      <w:rFonts w:ascii="Calibri" w:eastAsia="Calibri" w:hAnsi="Calibri" w:cs="Times New Roman"/>
    </w:rPr>
  </w:style>
  <w:style w:type="paragraph" w:customStyle="1" w:styleId="RSReferencestext">
    <w:name w:val="RS References text"/>
    <w:basedOn w:val="Normal"/>
    <w:qFormat/>
    <w:rsid w:val="00ED60B4"/>
    <w:pPr>
      <w:spacing w:line="240" w:lineRule="auto"/>
      <w:ind w:left="850" w:right="850" w:hanging="720"/>
      <w:jc w:val="both"/>
    </w:pPr>
    <w:rPr>
      <w:rFonts w:cs="Times New Roman"/>
      <w:lang w:val="en-GB"/>
    </w:rPr>
  </w:style>
  <w:style w:type="paragraph" w:customStyle="1" w:styleId="RSSourceandnotes">
    <w:name w:val="RS Source and notes"/>
    <w:basedOn w:val="Normal"/>
    <w:qFormat/>
    <w:rsid w:val="00ED60B4"/>
    <w:pPr>
      <w:keepNext/>
      <w:spacing w:after="0" w:line="240" w:lineRule="auto"/>
      <w:ind w:left="709" w:right="850" w:hanging="709"/>
      <w:jc w:val="both"/>
    </w:pPr>
    <w:rPr>
      <w:rFonts w:ascii="Calibri" w:eastAsia="Times New Roman" w:hAnsi="Calibri" w:cs="Times New Roman"/>
      <w:bCs/>
      <w:i/>
      <w:color w:val="000000"/>
      <w:sz w:val="16"/>
      <w:szCs w:val="20"/>
      <w:lang w:val="en-GB"/>
    </w:rPr>
  </w:style>
  <w:style w:type="paragraph" w:styleId="TableofFigures">
    <w:name w:val="table of figures"/>
    <w:basedOn w:val="RSFiguretitle"/>
    <w:next w:val="RSFiguretitle"/>
    <w:link w:val="TableofFiguresChar"/>
    <w:uiPriority w:val="99"/>
    <w:semiHidden/>
    <w:unhideWhenUsed/>
    <w:rsid w:val="00ED60B4"/>
    <w:pPr>
      <w:spacing w:after="0"/>
    </w:pPr>
  </w:style>
  <w:style w:type="character" w:customStyle="1" w:styleId="TableofFiguresChar">
    <w:name w:val="Table of Figures Char"/>
    <w:basedOn w:val="RSFiguretitleChar"/>
    <w:link w:val="TableofFigures"/>
    <w:uiPriority w:val="99"/>
    <w:semiHidden/>
    <w:rsid w:val="00ED60B4"/>
    <w:rPr>
      <w:rFonts w:ascii="Calibri" w:eastAsia="Times New Roman" w:hAnsi="Calibri" w:cs="Times New Roman"/>
      <w:b/>
      <w:caps/>
      <w:color w:val="1F355E"/>
      <w:sz w:val="20"/>
      <w:szCs w:val="18"/>
      <w:lang w:val="en-GB"/>
    </w:rPr>
  </w:style>
  <w:style w:type="paragraph" w:customStyle="1" w:styleId="RSTitlepg-Addinfo">
    <w:name w:val="RS Title pg - Add info"/>
    <w:basedOn w:val="Normal"/>
    <w:qFormat/>
    <w:rsid w:val="00ED60B4"/>
    <w:pPr>
      <w:spacing w:after="0" w:line="240" w:lineRule="auto"/>
    </w:pPr>
    <w:rPr>
      <w:lang w:val="en-GB"/>
    </w:rPr>
  </w:style>
  <w:style w:type="paragraph" w:customStyle="1" w:styleId="RSTitlepg-authors">
    <w:name w:val="RS Title pg - authors"/>
    <w:basedOn w:val="Normal"/>
    <w:qFormat/>
    <w:rsid w:val="00ED60B4"/>
    <w:rPr>
      <w:rFonts w:ascii="Calibri" w:eastAsia="Times New Roman" w:hAnsi="Calibri" w:cs="Times New Roman"/>
      <w:sz w:val="28"/>
      <w:szCs w:val="28"/>
      <w:lang w:val="en-GB"/>
    </w:rPr>
  </w:style>
  <w:style w:type="paragraph" w:customStyle="1" w:styleId="RSTitlepg-Date">
    <w:name w:val="RS Title pg - Date"/>
    <w:basedOn w:val="Normal"/>
    <w:qFormat/>
    <w:rsid w:val="00ED60B4"/>
    <w:pPr>
      <w:spacing w:after="0" w:line="240" w:lineRule="auto"/>
    </w:pPr>
    <w:rPr>
      <w:rFonts w:eastAsia="Times New Roman" w:cs="Times New Roman"/>
      <w:b/>
      <w:color w:val="1F355E"/>
      <w:sz w:val="32"/>
      <w:szCs w:val="32"/>
      <w:lang w:val="en-GB" w:eastAsia="de-DE"/>
    </w:rPr>
  </w:style>
  <w:style w:type="paragraph" w:customStyle="1" w:styleId="RSTitlepg-RSnumber">
    <w:name w:val="RS Title pg - RS number"/>
    <w:basedOn w:val="Normal"/>
    <w:qFormat/>
    <w:rsid w:val="00ED60B4"/>
    <w:rPr>
      <w:b/>
      <w:color w:val="1F355E"/>
      <w:sz w:val="36"/>
      <w:szCs w:val="36"/>
      <w:lang w:val="en-GB"/>
    </w:rPr>
  </w:style>
  <w:style w:type="paragraph" w:customStyle="1" w:styleId="RSTitlepg-Title">
    <w:name w:val="RS Title pg - Title"/>
    <w:basedOn w:val="Normal"/>
    <w:qFormat/>
    <w:rsid w:val="00ED60B4"/>
    <w:rPr>
      <w:rFonts w:ascii="Calibri" w:hAnsi="Calibri"/>
      <w:b/>
      <w:bCs/>
      <w:caps/>
      <w:color w:val="1F355E"/>
      <w:sz w:val="44"/>
      <w:szCs w:val="44"/>
    </w:rPr>
  </w:style>
  <w:style w:type="paragraph" w:customStyle="1" w:styleId="RSTOCheading">
    <w:name w:val="RS TOC heading"/>
    <w:basedOn w:val="RSHeading-Firstpages"/>
    <w:qFormat/>
    <w:rsid w:val="009C7FC1"/>
    <w:pPr>
      <w:ind w:left="0"/>
    </w:pPr>
    <w:rPr>
      <w:caps/>
    </w:rPr>
  </w:style>
  <w:style w:type="character" w:styleId="UnresolvedMention">
    <w:name w:val="Unresolved Mention"/>
    <w:basedOn w:val="DefaultParagraphFont"/>
    <w:uiPriority w:val="99"/>
    <w:semiHidden/>
    <w:unhideWhenUsed/>
    <w:rsid w:val="009276C8"/>
    <w:rPr>
      <w:color w:val="605E5C"/>
      <w:shd w:val="clear" w:color="auto" w:fill="E1DFDD"/>
    </w:rPr>
  </w:style>
  <w:style w:type="table" w:customStyle="1" w:styleId="RSTable">
    <w:name w:val="RS Table"/>
    <w:basedOn w:val="TableNormal"/>
    <w:next w:val="MediumShading1-Accent3"/>
    <w:uiPriority w:val="63"/>
    <w:rsid w:val="00010EF3"/>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table" w:styleId="MediumShading1-Accent3">
    <w:name w:val="Medium Shading 1 Accent 3"/>
    <w:basedOn w:val="TableNormal"/>
    <w:uiPriority w:val="63"/>
    <w:semiHidden/>
    <w:unhideWhenUsed/>
    <w:rsid w:val="00010EF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1-Accent312">
    <w:name w:val="Medium Shading 1 - Accent 312"/>
    <w:basedOn w:val="TableNormal"/>
    <w:next w:val="MediumShading1-Accent3"/>
    <w:uiPriority w:val="63"/>
    <w:rsid w:val="00A13B3B"/>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styleId="ListParagraph">
    <w:name w:val="List Paragraph"/>
    <w:basedOn w:val="Normal"/>
    <w:uiPriority w:val="34"/>
    <w:rsid w:val="000A2F7A"/>
    <w:pPr>
      <w:ind w:left="720"/>
      <w:contextualSpacing/>
    </w:pPr>
  </w:style>
  <w:style w:type="paragraph" w:styleId="Title">
    <w:name w:val="Title"/>
    <w:basedOn w:val="RSTitlepg-Title"/>
    <w:next w:val="Normal"/>
    <w:link w:val="TitleChar"/>
    <w:uiPriority w:val="10"/>
    <w:rsid w:val="00442844"/>
  </w:style>
  <w:style w:type="character" w:customStyle="1" w:styleId="TitleChar">
    <w:name w:val="Title Char"/>
    <w:basedOn w:val="DefaultParagraphFont"/>
    <w:link w:val="Title"/>
    <w:uiPriority w:val="10"/>
    <w:rsid w:val="00442844"/>
    <w:rPr>
      <w:rFonts w:ascii="Calibri" w:hAnsi="Calibri"/>
      <w:b/>
      <w:bCs/>
      <w:caps/>
      <w:color w:val="1F355E"/>
      <w:sz w:val="44"/>
      <w:szCs w:val="44"/>
    </w:rPr>
  </w:style>
  <w:style w:type="paragraph" w:customStyle="1" w:styleId="Author">
    <w:name w:val="Author"/>
    <w:basedOn w:val="RSTitlepg-authors"/>
    <w:qFormat/>
    <w:rsid w:val="00BB6980"/>
  </w:style>
  <w:style w:type="paragraph" w:styleId="Date">
    <w:name w:val="Date"/>
    <w:basedOn w:val="RSTitlepg-Date"/>
    <w:next w:val="Normal"/>
    <w:link w:val="DateChar"/>
    <w:uiPriority w:val="99"/>
    <w:unhideWhenUsed/>
    <w:rsid w:val="00BB6980"/>
  </w:style>
  <w:style w:type="character" w:customStyle="1" w:styleId="DateChar">
    <w:name w:val="Date Char"/>
    <w:basedOn w:val="DefaultParagraphFont"/>
    <w:link w:val="Date"/>
    <w:uiPriority w:val="99"/>
    <w:rsid w:val="00BB6980"/>
    <w:rPr>
      <w:rFonts w:eastAsia="Times New Roman" w:cs="Times New Roman"/>
      <w:b/>
      <w:color w:val="1F355E"/>
      <w:sz w:val="32"/>
      <w:szCs w:val="32"/>
      <w:lang w:val="en-GB" w:eastAsia="de-DE"/>
    </w:rPr>
  </w:style>
  <w:style w:type="paragraph" w:styleId="BodyText">
    <w:name w:val="Body Text"/>
    <w:basedOn w:val="RSBodytext"/>
    <w:link w:val="BodyTextChar"/>
    <w:uiPriority w:val="99"/>
    <w:unhideWhenUsed/>
    <w:rsid w:val="00DC6B5A"/>
  </w:style>
  <w:style w:type="character" w:customStyle="1" w:styleId="BodyTextChar">
    <w:name w:val="Body Text Char"/>
    <w:basedOn w:val="DefaultParagraphFont"/>
    <w:link w:val="BodyText"/>
    <w:uiPriority w:val="99"/>
    <w:rsid w:val="00DC6B5A"/>
    <w:rPr>
      <w:rFonts w:ascii="Calibri" w:hAnsi="Calibri"/>
      <w:lang w:val="en-GB" w:eastAsia="de-DE"/>
    </w:rPr>
  </w:style>
  <w:style w:type="paragraph" w:customStyle="1" w:styleId="FirstParagraph">
    <w:name w:val="First Paragraph"/>
    <w:basedOn w:val="RSBodytext"/>
    <w:qFormat/>
    <w:rsid w:val="00DC6B5A"/>
    <w:pPr>
      <w:spacing w:before="360"/>
    </w:pPr>
  </w:style>
  <w:style w:type="paragraph" w:styleId="ListBullet">
    <w:name w:val="List Bullet"/>
    <w:basedOn w:val="RSBullets"/>
    <w:uiPriority w:val="99"/>
    <w:unhideWhenUsed/>
    <w:rsid w:val="00DC6B5A"/>
  </w:style>
  <w:style w:type="paragraph" w:styleId="FootnoteText">
    <w:name w:val="footnote text"/>
    <w:basedOn w:val="RSFootnotetext"/>
    <w:link w:val="FootnoteTextChar"/>
    <w:unhideWhenUsed/>
    <w:rsid w:val="00DC6B5A"/>
    <w:rPr>
      <w:szCs w:val="18"/>
    </w:rPr>
  </w:style>
  <w:style w:type="character" w:customStyle="1" w:styleId="FootnoteTextChar">
    <w:name w:val="Footnote Text Char"/>
    <w:basedOn w:val="DefaultParagraphFont"/>
    <w:link w:val="FootnoteText"/>
    <w:rsid w:val="00DC6B5A"/>
    <w:rPr>
      <w:rFonts w:eastAsia="Batang" w:cs="Times New Roman"/>
      <w:sz w:val="18"/>
      <w:szCs w:val="18"/>
      <w:lang w:val="en-GB" w:eastAsia="de-DE"/>
    </w:rPr>
  </w:style>
  <w:style w:type="paragraph" w:styleId="Quote">
    <w:name w:val="Quote"/>
    <w:basedOn w:val="RSQuote"/>
    <w:next w:val="Normal"/>
    <w:link w:val="QuoteChar"/>
    <w:uiPriority w:val="29"/>
    <w:rsid w:val="00DC6B5A"/>
  </w:style>
  <w:style w:type="character" w:customStyle="1" w:styleId="QuoteChar">
    <w:name w:val="Quote Char"/>
    <w:basedOn w:val="DefaultParagraphFont"/>
    <w:link w:val="Quote"/>
    <w:uiPriority w:val="29"/>
    <w:rsid w:val="00DC6B5A"/>
    <w:rPr>
      <w:rFonts w:ascii="Calibri" w:eastAsia="Times New Roman" w:hAnsi="Calibri" w:cs="Times New Roman"/>
      <w:i/>
      <w:szCs w:val="20"/>
      <w:lang w:val="en-GB"/>
    </w:rPr>
  </w:style>
  <w:style w:type="paragraph" w:customStyle="1" w:styleId="TableCaption">
    <w:name w:val="Table Caption"/>
    <w:basedOn w:val="RSTabletitle"/>
    <w:rsid w:val="00D960B7"/>
  </w:style>
  <w:style w:type="paragraph" w:styleId="Caption">
    <w:name w:val="caption"/>
    <w:basedOn w:val="Normal"/>
    <w:next w:val="Normal"/>
    <w:uiPriority w:val="35"/>
    <w:semiHidden/>
    <w:unhideWhenUsed/>
    <w:qFormat/>
    <w:rsid w:val="006D6DBF"/>
    <w:pPr>
      <w:spacing w:line="240" w:lineRule="auto"/>
    </w:pPr>
    <w:rPr>
      <w:i/>
      <w:iCs/>
      <w:color w:val="1F497D" w:themeColor="text2"/>
      <w:sz w:val="18"/>
      <w:szCs w:val="18"/>
    </w:rPr>
  </w:style>
  <w:style w:type="paragraph" w:customStyle="1" w:styleId="ImageCaption">
    <w:name w:val="Image Caption"/>
    <w:basedOn w:val="RSFiguretitle"/>
    <w:rsid w:val="00525B36"/>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26564">
      <w:bodyDiv w:val="1"/>
      <w:marLeft w:val="0"/>
      <w:marRight w:val="0"/>
      <w:marTop w:val="0"/>
      <w:marBottom w:val="0"/>
      <w:divBdr>
        <w:top w:val="none" w:sz="0" w:space="0" w:color="auto"/>
        <w:left w:val="none" w:sz="0" w:space="0" w:color="auto"/>
        <w:bottom w:val="none" w:sz="0" w:space="0" w:color="auto"/>
        <w:right w:val="none" w:sz="0" w:space="0" w:color="auto"/>
      </w:divBdr>
    </w:div>
    <w:div w:id="581524356">
      <w:bodyDiv w:val="1"/>
      <w:marLeft w:val="0"/>
      <w:marRight w:val="0"/>
      <w:marTop w:val="0"/>
      <w:marBottom w:val="0"/>
      <w:divBdr>
        <w:top w:val="none" w:sz="0" w:space="0" w:color="auto"/>
        <w:left w:val="none" w:sz="0" w:space="0" w:color="auto"/>
        <w:bottom w:val="none" w:sz="0" w:space="0" w:color="auto"/>
        <w:right w:val="none" w:sz="0" w:space="0" w:color="auto"/>
      </w:divBdr>
    </w:div>
    <w:div w:id="612442237">
      <w:bodyDiv w:val="1"/>
      <w:marLeft w:val="0"/>
      <w:marRight w:val="0"/>
      <w:marTop w:val="0"/>
      <w:marBottom w:val="0"/>
      <w:divBdr>
        <w:top w:val="none" w:sz="0" w:space="0" w:color="auto"/>
        <w:left w:val="none" w:sz="0" w:space="0" w:color="auto"/>
        <w:bottom w:val="none" w:sz="0" w:space="0" w:color="auto"/>
        <w:right w:val="none" w:sz="0" w:space="0" w:color="auto"/>
      </w:divBdr>
    </w:div>
    <w:div w:id="1470856774">
      <w:bodyDiv w:val="1"/>
      <w:marLeft w:val="0"/>
      <w:marRight w:val="0"/>
      <w:marTop w:val="0"/>
      <w:marBottom w:val="0"/>
      <w:divBdr>
        <w:top w:val="none" w:sz="0" w:space="0" w:color="auto"/>
        <w:left w:val="none" w:sz="0" w:space="0" w:color="auto"/>
        <w:bottom w:val="none" w:sz="0" w:space="0" w:color="auto"/>
        <w:right w:val="none" w:sz="0" w:space="0" w:color="auto"/>
      </w:divBdr>
    </w:div>
    <w:div w:id="1533303515">
      <w:bodyDiv w:val="1"/>
      <w:marLeft w:val="0"/>
      <w:marRight w:val="0"/>
      <w:marTop w:val="0"/>
      <w:marBottom w:val="0"/>
      <w:divBdr>
        <w:top w:val="none" w:sz="0" w:space="0" w:color="auto"/>
        <w:left w:val="none" w:sz="0" w:space="0" w:color="auto"/>
        <w:bottom w:val="none" w:sz="0" w:space="0" w:color="auto"/>
        <w:right w:val="none" w:sz="0" w:space="0" w:color="auto"/>
      </w:divBdr>
    </w:div>
    <w:div w:id="199586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hyperlink" Target="https://doi.org/10.1111/j.1467-9477.2008.00211.x" TargetMode="External"/><Relationship Id="rId47" Type="http://schemas.openxmlformats.org/officeDocument/2006/relationships/hyperlink" Target="https://doi.org/10.1177/0958928719899337" TargetMode="External"/><Relationship Id="rId63" Type="http://schemas.openxmlformats.org/officeDocument/2006/relationships/hyperlink" Target="https://doi.org/10.26504/jr14" TargetMode="External"/><Relationship Id="rId68" Type="http://schemas.openxmlformats.org/officeDocument/2006/relationships/hyperlink" Target="https://doi.org/10.11126/stanford/9780804782524.001.0001" TargetMode="Externa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i.org/10.1080/13501763.2024.2333856" TargetMode="External"/><Relationship Id="rId37" Type="http://schemas.openxmlformats.org/officeDocument/2006/relationships/hyperlink" Target="https://doi.org/10.1017/9781009366038" TargetMode="External"/><Relationship Id="rId40" Type="http://schemas.openxmlformats.org/officeDocument/2006/relationships/hyperlink" Target="https://doi.org/10.1080/17405904.2019.1568898" TargetMode="External"/><Relationship Id="rId45" Type="http://schemas.openxmlformats.org/officeDocument/2006/relationships/hyperlink" Target="https://doi.org/10.1007/s11205-011-9915-5" TargetMode="External"/><Relationship Id="rId53" Type="http://schemas.openxmlformats.org/officeDocument/2006/relationships/hyperlink" Target="https://doi.org/10.1093/esr/jcr046" TargetMode="External"/><Relationship Id="rId58" Type="http://schemas.openxmlformats.org/officeDocument/2006/relationships/hyperlink" Target="https://doi.org/10.1086/261013" TargetMode="External"/><Relationship Id="rId66" Type="http://schemas.openxmlformats.org/officeDocument/2006/relationships/hyperlink" Target="https://doi.org/10.3390/soc9030050" TargetMode="External"/><Relationship Id="rId5" Type="http://schemas.openxmlformats.org/officeDocument/2006/relationships/footnotes" Target="footnotes.xml"/><Relationship Id="rId61" Type="http://schemas.openxmlformats.org/officeDocument/2006/relationships/hyperlink" Target="https://doi.org/10.1177/0268580906061379"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doi.org/10.1080/01402382.2020.1715704" TargetMode="External"/><Relationship Id="rId35" Type="http://schemas.openxmlformats.org/officeDocument/2006/relationships/hyperlink" Target="https://doi.org/10.1016/j.jebo.2020.07.005" TargetMode="External"/><Relationship Id="rId43" Type="http://schemas.openxmlformats.org/officeDocument/2006/relationships/hyperlink" Target="https://doi.org/10.1177/0958928720978012" TargetMode="External"/><Relationship Id="rId48" Type="http://schemas.openxmlformats.org/officeDocument/2006/relationships/hyperlink" Target="https://doi.org/10.1080/13501763.2025.2490811" TargetMode="External"/><Relationship Id="rId56" Type="http://schemas.openxmlformats.org/officeDocument/2006/relationships/hyperlink" Target="https://doi.org/10.1017/9781009428682" TargetMode="External"/><Relationship Id="rId64" Type="http://schemas.openxmlformats.org/officeDocument/2006/relationships/hyperlink" Target="https://doi.org/10.1177/00323292241283293" TargetMode="External"/><Relationship Id="rId69" Type="http://schemas.openxmlformats.org/officeDocument/2006/relationships/hyperlink" Target="https://scholar.google.com/scholar?cluster=14780777134980176311&amp;hl=en&amp;oi=scholarr" TargetMode="External"/><Relationship Id="rId8" Type="http://schemas.openxmlformats.org/officeDocument/2006/relationships/image" Target="media/image2.png"/><Relationship Id="rId51" Type="http://schemas.openxmlformats.org/officeDocument/2006/relationships/hyperlink" Target="https://doi.org/10.1017/9781108613880" TargetMode="External"/><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i.org/10.1177/09589287241290742" TargetMode="External"/><Relationship Id="rId38" Type="http://schemas.openxmlformats.org/officeDocument/2006/relationships/hyperlink" Target="https://doi.org/10.1177/0956797612450035" TargetMode="External"/><Relationship Id="rId46" Type="http://schemas.openxmlformats.org/officeDocument/2006/relationships/hyperlink" Target="https://doi.org/None" TargetMode="External"/><Relationship Id="rId59" Type="http://schemas.openxmlformats.org/officeDocument/2006/relationships/hyperlink" Target="https://doi.org/10.1017/pan.2019.27" TargetMode="External"/><Relationship Id="rId67" Type="http://schemas.openxmlformats.org/officeDocument/2006/relationships/hyperlink" Target="https://doi.org/10.1016/j.ssresearch.2022.102746" TargetMode="External"/><Relationship Id="rId20" Type="http://schemas.openxmlformats.org/officeDocument/2006/relationships/image" Target="media/image14.png"/><Relationship Id="rId41" Type="http://schemas.openxmlformats.org/officeDocument/2006/relationships/hyperlink" Target="https://doi.org/10.1086/732955" TargetMode="External"/><Relationship Id="rId54" Type="http://schemas.openxmlformats.org/officeDocument/2006/relationships/hyperlink" Target="https://doi.org/10.1111/1468-4446.12747" TargetMode="External"/><Relationship Id="rId62" Type="http://schemas.openxmlformats.org/officeDocument/2006/relationships/hyperlink" Target="https://doi.org/10.1017/S1474746422000082" TargetMode="External"/><Relationship Id="rId70" Type="http://schemas.openxmlformats.org/officeDocument/2006/relationships/hyperlink" Target="https://doi.org/10.1057/s41269-022-00260-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oi.org/10.1016/j.jebo.2021.03.017" TargetMode="External"/><Relationship Id="rId49" Type="http://schemas.openxmlformats.org/officeDocument/2006/relationships/hyperlink" Target="https://doi.org/10.1111/1475-6765.12696" TargetMode="External"/><Relationship Id="rId57" Type="http://schemas.openxmlformats.org/officeDocument/2006/relationships/hyperlink" Target="https://doi.org/10.1017/psrm.2023.57" TargetMode="External"/><Relationship Id="rId10" Type="http://schemas.openxmlformats.org/officeDocument/2006/relationships/image" Target="media/image4.png"/><Relationship Id="rId31" Type="http://schemas.openxmlformats.org/officeDocument/2006/relationships/hyperlink" Target="https://doi.org/10.1787/c0120dea-en" TargetMode="External"/><Relationship Id="rId44" Type="http://schemas.openxmlformats.org/officeDocument/2006/relationships/hyperlink" Target="https://doi.org/10.1257/jel.20241674" TargetMode="External"/><Relationship Id="rId52" Type="http://schemas.openxmlformats.org/officeDocument/2006/relationships/hyperlink" Target="https://doi.org/10.1093/ijpor/edn030" TargetMode="External"/><Relationship Id="rId60" Type="http://schemas.openxmlformats.org/officeDocument/2006/relationships/hyperlink" Target="https://doi.org/10.2139/ssrn.4169385" TargetMode="External"/><Relationship Id="rId65" Type="http://schemas.openxmlformats.org/officeDocument/2006/relationships/hyperlink" Target="https://doi.org/10.1017/S1755773920000120"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doi.org/10.1177/09589287211066469" TargetMode="External"/><Relationship Id="rId34" Type="http://schemas.openxmlformats.org/officeDocument/2006/relationships/hyperlink" Target="https://doi.org/10.1300/j134v07n03_03" TargetMode="External"/><Relationship Id="rId50" Type="http://schemas.openxmlformats.org/officeDocument/2006/relationships/hyperlink" Target="https://doi.org/10.26504/rs176" TargetMode="External"/><Relationship Id="rId55" Type="http://schemas.openxmlformats.org/officeDocument/2006/relationships/hyperlink" Target="https://doi.org/10.1057/s41269-024-00332-y" TargetMode="External"/><Relationship Id="rId7" Type="http://schemas.openxmlformats.org/officeDocument/2006/relationships/image" Target="media/image1.png"/><Relationship Id="rId71" Type="http://schemas.openxmlformats.org/officeDocument/2006/relationships/hyperlink" Target="https://doi.org/10.1093/ijpor/edae0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https://esriie.sharepoint.com/Office_Templates/Templates/ESRI%20Publications%20Templates/ESRI%20Research%20Series%20Exemplar%20June%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ESRI%20Research%20Series%20Exemplar%20June%202025.dotx</Template>
  <TotalTime>899</TotalTime>
  <Pages>38</Pages>
  <Words>9890</Words>
  <Characters>56377</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Daniel Capistrano; Bertrand Maître; Helen Russell</dc:creator>
  <cp:keywords/>
  <cp:lastModifiedBy>Daniel Capistrano</cp:lastModifiedBy>
  <cp:revision>3</cp:revision>
  <dcterms:created xsi:type="dcterms:W3CDTF">2025-10-07T17:03:00Z</dcterms:created>
  <dcterms:modified xsi:type="dcterms:W3CDTF">2025-10-08T07:43:00Z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crossref">
    <vt:lpwstr/>
  </property>
  <property fmtid="{D5CDD505-2E9C-101B-9397-08002B2CF9AE}" pid="7" name="execute">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